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Autospacing="0" w:after="0" w:afterAutospacing="0" w:line="480" w:lineRule="auto"/>
        <w:jc w:val="center"/>
        <w:rPr>
          <w:rFonts w:ascii="Times New Roman" w:hAnsi="Times New Roman" w:eastAsia="Calibri"/>
          <w:b/>
          <w:bCs/>
        </w:rPr>
      </w:pPr>
      <w:r>
        <w:rPr>
          <w:rFonts w:ascii="Times New Roman" w:hAnsi="Times New Roman" w:eastAsia="Calibri"/>
          <w:b/>
          <w:bCs/>
        </w:rPr>
        <w:t>BAB I</w:t>
      </w:r>
    </w:p>
    <w:p>
      <w:pPr>
        <w:spacing w:before="0" w:beforeAutospacing="0" w:after="0" w:afterAutospacing="0" w:line="480" w:lineRule="auto"/>
        <w:jc w:val="center"/>
        <w:rPr>
          <w:rFonts w:ascii="Times New Roman" w:hAnsi="Times New Roman" w:eastAsia="Calibri"/>
          <w:b/>
          <w:bCs/>
        </w:rPr>
      </w:pPr>
      <w:r>
        <w:rPr>
          <w:rFonts w:ascii="Times New Roman" w:hAnsi="Times New Roman" w:eastAsia="Calibri"/>
          <w:b/>
          <w:bCs/>
        </w:rPr>
        <w:t>PENDAHULUAN</w:t>
      </w:r>
    </w:p>
    <w:p>
      <w:pPr>
        <w:spacing w:line="480" w:lineRule="auto"/>
        <w:jc w:val="both"/>
        <w:rPr>
          <w:rFonts w:ascii="Times New Roman" w:hAnsi="Times New Roman" w:eastAsia="Calibri"/>
          <w:b/>
          <w:bCs/>
        </w:rPr>
      </w:pPr>
      <w:r>
        <w:rPr>
          <w:rFonts w:ascii="Times New Roman" w:hAnsi="Times New Roman" w:eastAsia="Calibri"/>
          <w:b/>
          <w:bCs/>
        </w:rPr>
        <w:t>1.1 Latar Belakang</w:t>
      </w:r>
    </w:p>
    <w:p>
      <w:pPr>
        <w:spacing w:line="480" w:lineRule="auto"/>
        <w:ind w:firstLine="720"/>
        <w:jc w:val="both"/>
        <w:rPr>
          <w:rFonts w:ascii="Times New Roman" w:hAnsi="Times New Roman" w:eastAsia="Calibri"/>
        </w:rPr>
      </w:pPr>
      <w:r>
        <w:rPr>
          <w:rFonts w:ascii="Times New Roman" w:hAnsi="Times New Roman" w:eastAsia="Calibri"/>
        </w:rPr>
        <w:t>Perekonmian secara keseluruhan akan mendapat manfaat dari keberadaan bank berupa mekanisme alokasi sumber-sumber dana secara efektif dan efisien dari bank. Definisi Bank menurut Undang-Undang No. 10 tahun 1998 tentang perbankan pasal 3:</w:t>
      </w:r>
    </w:p>
    <w:p>
      <w:pPr>
        <w:ind w:left="851"/>
        <w:jc w:val="both"/>
        <w:rPr>
          <w:rFonts w:ascii="Times New Roman" w:hAnsi="Times New Roman" w:eastAsia="Calibri"/>
        </w:rPr>
      </w:pPr>
      <w:r>
        <w:rPr>
          <w:rFonts w:ascii="Times New Roman" w:hAnsi="Times New Roman" w:eastAsia="Calibri"/>
        </w:rPr>
        <w:t xml:space="preserve"> “Bank adalah lembaga intermediasi yang menghimpun dana dari masyarakat dalam bentuk simpanan dan menyalurkannya kembali kepada masyarakat dalam bentuk kredit atau bentuk-bentuk lain dalam rangka meningkatkan taraf hidup masyarakat”. </w:t>
      </w:r>
    </w:p>
    <w:p>
      <w:pPr>
        <w:spacing w:line="480" w:lineRule="auto"/>
        <w:ind w:firstLine="720"/>
        <w:jc w:val="both"/>
        <w:rPr>
          <w:rFonts w:ascii="Times New Roman" w:hAnsi="Times New Roman" w:eastAsia="Calibri"/>
        </w:rPr>
      </w:pPr>
      <w:r>
        <w:rPr>
          <w:rFonts w:ascii="Times New Roman" w:hAnsi="Times New Roman" w:eastAsia="Calibri"/>
        </w:rPr>
        <w:t xml:space="preserve">Fungsi intermediasi dikatakan bahwa bank merupakan penyalur dana dari unit-unit ekonomi yang mempunyai kelebihan dana kepada unit-unit yang kekurangan dana (Undang-Undang No.10 tahun 1998 tentang perbankan). Melalui proses intermediasi seperti ini, bank sebagai lembaga intermediasi berperan penting dalam mobilisasi dana-dana masyarakat untuk diinvestasikan sebagai salah satu sumber pembiayaan utama bagi dunia usaha, baik untuk konsumsi, investasi, maupun produksi, dalam rangka membantu pertumbuhan ekonomi. Selain itu, bank memberikan pelayanan dalam lalu lintas sistem pembayaran sehingga kegiatan ekonomi masyarakat dapat berjalan dengan lancar, dengan sistem pembayaran yang efisien, aman dan lancar maka perekonomian dapat berjalan dengan baik. </w:t>
      </w:r>
    </w:p>
    <w:p>
      <w:pPr>
        <w:spacing w:line="480" w:lineRule="auto"/>
        <w:ind w:firstLine="720"/>
        <w:jc w:val="both"/>
        <w:rPr>
          <w:rFonts w:ascii="Times New Roman" w:hAnsi="Times New Roman" w:eastAsia="Calibri"/>
        </w:rPr>
      </w:pPr>
      <w:r>
        <w:rPr>
          <w:rFonts w:ascii="Times New Roman" w:hAnsi="Times New Roman" w:eastAsia="Calibri"/>
        </w:rPr>
        <w:t xml:space="preserve">Industri perbankan memegang peran penting bagi pembagunan ekonomi yaitu sebagai </w:t>
      </w:r>
      <w:r>
        <w:rPr>
          <w:rFonts w:ascii="Times New Roman" w:hAnsi="Times New Roman" w:eastAsia="Calibri"/>
          <w:i/>
          <w:iCs/>
        </w:rPr>
        <w:t xml:space="preserve">financial intermediary </w:t>
      </w:r>
      <w:r>
        <w:rPr>
          <w:rFonts w:ascii="Times New Roman" w:hAnsi="Times New Roman" w:eastAsia="Calibri"/>
        </w:rPr>
        <w:t>atau perantara pihak yang kelebihan dana dengan pihak yang membutuhkan dana sesuai dengan Undang-Undang Republik Indonesia No. 10 tahun 1998 tentang perbankan pasal 4 disebutkan bahwa “bank adalah badan usaha yang menghimpun dana dari masyarakat dalam bentuk kredit dan atau bentuk-bentuk lainnya dalam rangka meningkatkan taraf hidup rakyat banyak”. Fungsi bank dan sebagai lembaga intermediasi ini membuat bank memiliki posisi yang strategis didalam perekonomian dengan aktivitasnya, yaitu menghimpun dana dan menyalurkan dana kepada masyarakat yang membutuhkan dana untuk meningkatkan arus investasi, modal kerja dan konsumsi.</w:t>
      </w:r>
    </w:p>
    <w:p>
      <w:pPr>
        <w:spacing w:line="480" w:lineRule="auto"/>
        <w:ind w:firstLine="720"/>
        <w:jc w:val="both"/>
        <w:rPr>
          <w:rFonts w:ascii="Times New Roman" w:hAnsi="Times New Roman" w:eastAsia="Calibri"/>
        </w:rPr>
      </w:pPr>
      <w:r>
        <w:rPr>
          <w:rFonts w:ascii="Times New Roman" w:hAnsi="Times New Roman" w:eastAsia="Calibri"/>
        </w:rPr>
        <w:t>Secara umum, berdasarkan jenisnya, di Indonesia terdapat dua jenis bank, yaitu bank konvensional atau bank yang melalukan usaha secara konvensional dan bank syariah atau bank yang melakukan usaha dengan berdasarkan prinsip syariah. (Pasal 1 Ayat 2 Undang-Undang No. 10 tahun 1998 tentang perubahan Undang-Undang No.7 tahun 1992 tentang perbankan).</w:t>
      </w:r>
    </w:p>
    <w:p>
      <w:pPr>
        <w:spacing w:line="480" w:lineRule="auto"/>
        <w:ind w:firstLine="720"/>
        <w:jc w:val="both"/>
        <w:rPr>
          <w:rFonts w:ascii="Times New Roman" w:hAnsi="Times New Roman" w:eastAsia="Calibri"/>
        </w:rPr>
      </w:pPr>
      <w:r>
        <w:rPr>
          <w:rFonts w:ascii="Times New Roman" w:hAnsi="Times New Roman" w:eastAsia="Calibri"/>
        </w:rPr>
        <w:t>Perbedaan yang mendasar antara bank konvensional dan bank syariah adalah adanya prinsip islam didalam kegiatan bank syariah, adanya larangan bunga dalam bank syariah, menjadikan bank syariah menganut sistem bagi hasil, sedangkan bank konvensional menganut sistem bunga (Ismail,2016 : 26).</w:t>
      </w:r>
    </w:p>
    <w:p>
      <w:pPr>
        <w:spacing w:line="480" w:lineRule="auto"/>
        <w:ind w:firstLine="720"/>
        <w:jc w:val="both"/>
        <w:rPr>
          <w:rFonts w:ascii="Times New Roman" w:hAnsi="Times New Roman" w:eastAsia="Calibri"/>
        </w:rPr>
      </w:pPr>
      <w:r>
        <w:rPr>
          <w:rFonts w:ascii="Times New Roman" w:hAnsi="Times New Roman" w:eastAsia="Calibri"/>
        </w:rPr>
        <w:t>Didalam Undang-Undang no.21 tahun 2008 tentang Perbankan Syariah pasal 1 ayat 1, dijelaskan bahwa “Perbankan Syariah dan Unit Usaha Syariah, mencakup kelembagaan, kegiatan usaha serta cara dan proses dalam melaksanakan kegiatan usahanya”.</w:t>
      </w:r>
    </w:p>
    <w:p>
      <w:pPr>
        <w:spacing w:line="480" w:lineRule="auto"/>
        <w:ind w:firstLine="720"/>
        <w:jc w:val="both"/>
        <w:rPr>
          <w:rFonts w:ascii="Times New Roman" w:hAnsi="Times New Roman" w:eastAsia="Calibri"/>
        </w:rPr>
      </w:pPr>
      <w:r>
        <w:rPr>
          <w:rFonts w:ascii="Times New Roman" w:hAnsi="Times New Roman" w:eastAsia="Calibri"/>
        </w:rPr>
        <w:t>Didalam Undang-Undang no.21 tahun 2008 tentang Perbankan Syariah  pasal 1 ayat 8 tertulis pula bahwa, “Bank umum syariah adalah bank syariah yang dalam kegiatannya memberikan jasa dalam lalu lintas pembayaran”. sedangkan, dalam UU No.21/2008 tentang Perbankan Syariah pasal 1 ayat 9 tertulis, “bank pembiayaan rakyat syariah adalah bank syariah yang dalam kegiatannya tidak memberikan jasa dalam lalu lintas pembayaran”.</w:t>
      </w:r>
    </w:p>
    <w:p>
      <w:pPr>
        <w:spacing w:line="480" w:lineRule="auto"/>
        <w:ind w:firstLine="720"/>
        <w:jc w:val="both"/>
        <w:rPr>
          <w:rFonts w:ascii="Times New Roman" w:hAnsi="Times New Roman" w:eastAsia="Calibri"/>
        </w:rPr>
      </w:pPr>
      <w:r>
        <w:rPr>
          <w:rFonts w:ascii="Times New Roman" w:hAnsi="Times New Roman" w:eastAsia="Calibri"/>
        </w:rPr>
        <w:t>Menurut Undang-Undang Nomor 21 Tahun 2008 tentang perbankan syariah pasal 1 ayat 7 bahwa, “pengertian bank syariah adalah bank yang menjalankan kegiatan usahanya berdasarkan prinsip syariah dan menurut jenisnya terdiri atas Bank Umum Syariah (BUS) dan Bank Pembiayaan Rakyat Syariah (BPRS)”.</w:t>
      </w:r>
    </w:p>
    <w:p>
      <w:pPr>
        <w:spacing w:line="480" w:lineRule="auto"/>
        <w:ind w:firstLine="720"/>
        <w:jc w:val="both"/>
        <w:rPr>
          <w:rFonts w:ascii="Times New Roman" w:hAnsi="Times New Roman" w:eastAsia="Calibri"/>
        </w:rPr>
      </w:pPr>
      <w:r>
        <w:rPr>
          <w:rFonts w:ascii="Times New Roman" w:hAnsi="Times New Roman" w:eastAsia="Calibri"/>
        </w:rPr>
        <w:t>Perbankan syariah atau perbankan islam adalah suatu sistem perbankan yang pelaksanaannya berdasarkan hukum islam yaitu Al- Qur’an Al-Hadist (syariah). Pembentukan sistem ini berdasarkan adanya larangan dalam agama islam untuk meminjamkan atau memungut biaya pinjaman dengan mengenakan bunga pinjaman (</w:t>
      </w:r>
      <w:r>
        <w:rPr>
          <w:rFonts w:ascii="Times New Roman" w:hAnsi="Times New Roman" w:eastAsia="Calibri"/>
          <w:i/>
          <w:iCs/>
        </w:rPr>
        <w:t>riba</w:t>
      </w:r>
      <w:r>
        <w:rPr>
          <w:rFonts w:ascii="Times New Roman" w:hAnsi="Times New Roman" w:eastAsia="Calibri"/>
        </w:rPr>
        <w:t>), serta larangan berinvestasi pada usaha-usahayang dalam kategori terlarang (haram), misalnya dalam usaha yang berkaitan dengan produksi makanan atau minuman haram, usaha media atau hiburan yang tidak Islami, dan lain-lain. (Hesti dalam Selvy Safitri dan Arisson Hendry: 2015)</w:t>
      </w:r>
    </w:p>
    <w:p>
      <w:pPr>
        <w:spacing w:line="480" w:lineRule="auto"/>
        <w:ind w:firstLine="720"/>
        <w:jc w:val="both"/>
        <w:rPr>
          <w:rFonts w:ascii="Times New Roman" w:hAnsi="Times New Roman" w:eastAsia="Calibri"/>
        </w:rPr>
      </w:pPr>
      <w:r>
        <w:rPr>
          <w:rFonts w:ascii="Times New Roman" w:hAnsi="Times New Roman" w:eastAsia="Calibri"/>
        </w:rPr>
        <w:t xml:space="preserve">Keberadaan Bank Syariah di Indonesia relatif masih cukup baru, dimana bank umum syariah yang pertama kali berdiri adalah BMI (Bank Muamalat Indonesia) yang berdiri pada tahun 1992 (Yusmad, Muammar Arafat, 2016:204). Penduduk Indonesia yang mayoritasnya muslim akan berkontribusi dalam pertumbuhan dan pengembangan perbankan syariah dimasa yang akan datang, terlebih lagi keberadaan bank syariah di Indonesia memenuhi kebutuhan masyarakat yang kurang percaya pada bank konvensional yang menggunakan sistem bunga dalam kegiatannya. Indonesia menerapkan dua sistem perbankan, yaitu sistem perbankan konvensional dan perbankan syariah, dan banyaknya bank-bank konvensional yang menjalankan </w:t>
      </w:r>
      <w:r>
        <w:rPr>
          <w:rFonts w:ascii="Times New Roman" w:hAnsi="Times New Roman" w:eastAsia="Calibri"/>
          <w:i/>
          <w:iCs/>
        </w:rPr>
        <w:t xml:space="preserve">dual banking system </w:t>
      </w:r>
      <w:r>
        <w:rPr>
          <w:rFonts w:ascii="Times New Roman" w:hAnsi="Times New Roman" w:eastAsia="Calibri"/>
        </w:rPr>
        <w:t>atau membuka Unit Usaha Syariah (Haris, 2007:115).</w:t>
      </w:r>
    </w:p>
    <w:p>
      <w:pPr>
        <w:spacing w:line="480" w:lineRule="auto"/>
        <w:jc w:val="both"/>
        <w:rPr>
          <w:rFonts w:ascii="Times New Roman" w:hAnsi="Times New Roman" w:eastAsia="Calibri"/>
        </w:rPr>
      </w:pPr>
      <w:r>
        <w:rPr>
          <w:rFonts w:ascii="Times New Roman" w:hAnsi="Times New Roman" w:eastAsia="Calibri"/>
        </w:rPr>
        <w:t>Ikatan Bankir Indonesia (2014:2) berpendapat bahwa:</w:t>
      </w:r>
    </w:p>
    <w:p>
      <w:pPr>
        <w:spacing w:line="480" w:lineRule="auto"/>
        <w:ind w:firstLine="720"/>
        <w:jc w:val="both"/>
        <w:rPr>
          <w:rFonts w:ascii="Times New Roman" w:hAnsi="Times New Roman" w:eastAsia="Calibri"/>
        </w:rPr>
      </w:pPr>
      <w:r>
        <w:rPr>
          <w:rFonts w:ascii="Times New Roman" w:hAnsi="Times New Roman" w:eastAsia="Calibri"/>
        </w:rPr>
        <w:t>“bank syariah adalah bank yang menjalankan kegiatan usahanya berdasarkan prinsip syariah yang menurut jenisnya terdiri atas bank umum syariah dan bank pembiayaan rakyat syariah.”</w:t>
      </w:r>
    </w:p>
    <w:p>
      <w:pPr>
        <w:jc w:val="both"/>
        <w:rPr>
          <w:rFonts w:ascii="Times New Roman" w:hAnsi="Times New Roman" w:eastAsia="Calibri"/>
        </w:rPr>
      </w:pPr>
      <w:r>
        <w:rPr>
          <w:rFonts w:ascii="Times New Roman" w:hAnsi="Times New Roman" w:eastAsia="Calibri"/>
        </w:rPr>
        <w:t>Sementara itu, Sudarsono (2014:10) berpendapat:</w:t>
      </w:r>
    </w:p>
    <w:p>
      <w:pPr>
        <w:ind w:left="709"/>
        <w:jc w:val="both"/>
        <w:rPr>
          <w:rFonts w:ascii="Times New Roman" w:hAnsi="Times New Roman" w:eastAsia="Calibri"/>
        </w:rPr>
      </w:pPr>
      <w:r>
        <w:rPr>
          <w:rFonts w:ascii="Times New Roman" w:hAnsi="Times New Roman" w:eastAsia="Calibri"/>
        </w:rPr>
        <w:t>“Bahwa yang dimaksud dengan bank syariah ialah lembaga keuangan yang usaha pokoknya memberikan kredit dan jasa-jasa lain dalam lalu lintas pembayaran serta peredaran uang yang beroperasi dengan prinsip-prinsip syariah”.</w:t>
      </w:r>
    </w:p>
    <w:p>
      <w:pPr>
        <w:spacing w:line="480" w:lineRule="auto"/>
        <w:ind w:firstLine="720"/>
        <w:jc w:val="both"/>
        <w:rPr>
          <w:rFonts w:ascii="Times New Roman" w:hAnsi="Times New Roman" w:eastAsia="Calibri"/>
        </w:rPr>
      </w:pPr>
      <w:r>
        <w:rPr>
          <w:rFonts w:ascii="Times New Roman" w:hAnsi="Times New Roman" w:eastAsia="Calibri"/>
        </w:rPr>
        <w:t xml:space="preserve">Bank syariah maupun Bank konvensional keduanya memiliki fungsi yang sama, keduanya sama-sama merupakan lembaga perbankan yang memiliki fungsi sebagai lembaga intermediasi keuangan untuk memperlancar perekonomian, yang membedakan hanya terletak pada </w:t>
      </w:r>
      <w:r>
        <w:rPr>
          <w:rFonts w:ascii="Times New Roman" w:hAnsi="Times New Roman" w:eastAsia="Calibri"/>
          <w:i/>
          <w:iCs/>
        </w:rPr>
        <w:t>corebanking-</w:t>
      </w:r>
      <w:r>
        <w:rPr>
          <w:rFonts w:ascii="Times New Roman" w:hAnsi="Times New Roman" w:eastAsia="Calibri"/>
        </w:rPr>
        <w:t>nya. Perbankan Syariah menggunakan sistem bagi hasil dengan akad-akad, sedangkan bank konvesional menggunakan sistem bunga bank (Putra dan Wirathi,2014).</w:t>
      </w:r>
    </w:p>
    <w:p>
      <w:pPr>
        <w:spacing w:line="480" w:lineRule="auto"/>
        <w:ind w:firstLine="720"/>
        <w:jc w:val="both"/>
        <w:rPr>
          <w:rFonts w:ascii="Times New Roman" w:hAnsi="Times New Roman" w:eastAsia="Calibri"/>
        </w:rPr>
      </w:pPr>
      <w:r>
        <w:rPr>
          <w:rFonts w:ascii="Times New Roman" w:hAnsi="Times New Roman" w:eastAsia="Calibri"/>
        </w:rPr>
        <w:t>Sebagai salah satu lembaga keuangan, bank perlu menjaga kinerjanya agar dapat beroprasi secara optimal. Untuk bisa bertahan diindustri perbankan, salah satu sumber utama indikator yang dijadikan dasar penelitian adalah laporan keuangan dari bank yang bersangkutan. Berdasarkan laporan keuangan perbankan dapat dikalkulasikan sejumlah rasio keuangan yang dapat digunakan untuk memprediksi tingkat keuntungan, memprediksi masa depan, dan untuk mengantisipasi kondisi masa yang akan datang (Ikatan Bankir Indonesia, 2014 : 39).</w:t>
      </w:r>
    </w:p>
    <w:p>
      <w:pPr>
        <w:spacing w:line="480" w:lineRule="auto"/>
        <w:ind w:firstLine="720"/>
        <w:jc w:val="both"/>
        <w:rPr>
          <w:rFonts w:ascii="Times New Roman" w:hAnsi="Times New Roman" w:eastAsia="Calibri"/>
        </w:rPr>
      </w:pPr>
      <w:r>
        <w:rPr>
          <w:rFonts w:ascii="Times New Roman" w:hAnsi="Times New Roman" w:eastAsia="Calibri"/>
        </w:rPr>
        <w:t>Kondisi keuangan merupakan faktor yang penting dan dapat menjadi tolak ukur untuk mengetahui sejauh mana perushaan mampu menjaga kelancaran operasional agar tidak terganggu. Salah satu cara mengetahui keadaan suatu perusahaan adalah dengan menganalisis laporan keuangannya. Analisis laporan keuangan merupakan alat yang sangat penting untuk memperoleh informasi tentang keuangan dan kegiatan yang berkaitan dengan keuangan lainnya. Selain itu, dengan menganalisis keuangan waktu lampau, dapat diketahui kelemahan-kelemahan perushaan serta hasil-hasil kegiatan perusahaan untuk mengetahui tingkat kesehatan perusahaan.</w:t>
      </w:r>
    </w:p>
    <w:p>
      <w:pPr>
        <w:spacing w:line="480" w:lineRule="auto"/>
        <w:ind w:firstLine="720"/>
        <w:jc w:val="both"/>
        <w:rPr>
          <w:rFonts w:ascii="Times New Roman" w:hAnsi="Times New Roman" w:eastAsia="Calibri"/>
        </w:rPr>
      </w:pPr>
      <w:r>
        <w:rPr>
          <w:rFonts w:ascii="Times New Roman" w:hAnsi="Times New Roman" w:eastAsia="Calibri"/>
        </w:rPr>
        <w:t>Salah satu alat ukur untuk mengukur kesehatan bank adalah dengan analisa CAMEL (</w:t>
      </w:r>
      <w:r>
        <w:rPr>
          <w:rFonts w:ascii="Times New Roman" w:hAnsi="Times New Roman" w:eastAsia="Calibri"/>
          <w:i/>
          <w:iCs/>
        </w:rPr>
        <w:t xml:space="preserve">Capital, Assets, Management, Earning, Liquidity). </w:t>
      </w:r>
      <w:r>
        <w:rPr>
          <w:rFonts w:ascii="Times New Roman" w:hAnsi="Times New Roman" w:eastAsia="Calibri"/>
        </w:rPr>
        <w:t xml:space="preserve">Aspek </w:t>
      </w:r>
      <w:r>
        <w:rPr>
          <w:rFonts w:ascii="Times New Roman" w:hAnsi="Times New Roman" w:eastAsia="Calibri"/>
          <w:i/>
          <w:iCs/>
        </w:rPr>
        <w:t>Capital</w:t>
      </w:r>
      <w:r>
        <w:rPr>
          <w:rFonts w:ascii="Times New Roman" w:hAnsi="Times New Roman" w:eastAsia="Calibri"/>
        </w:rPr>
        <w:t xml:space="preserve"> (permodalan) meliputi CAR, aspek </w:t>
      </w:r>
      <w:r>
        <w:rPr>
          <w:rFonts w:ascii="Times New Roman" w:hAnsi="Times New Roman" w:eastAsia="Calibri"/>
          <w:i/>
          <w:iCs/>
        </w:rPr>
        <w:t xml:space="preserve">earning </w:t>
      </w:r>
      <w:r>
        <w:rPr>
          <w:rFonts w:ascii="Times New Roman" w:hAnsi="Times New Roman" w:eastAsia="Calibri"/>
        </w:rPr>
        <w:t>meliputi ROA, aspek likuiditas meliputi FDR. Aspek-aspek tersebut kemudian dinilai dengan menggunakan rasio keuangan sehingga dapat menilai kondisi keuangan perushaan perbankan (kasmir,2007)</w:t>
      </w:r>
    </w:p>
    <w:p>
      <w:pPr>
        <w:spacing w:line="480" w:lineRule="auto"/>
        <w:ind w:firstLine="720"/>
        <w:jc w:val="both"/>
        <w:rPr>
          <w:rFonts w:ascii="Times New Roman" w:hAnsi="Times New Roman" w:eastAsia="Calibri"/>
        </w:rPr>
      </w:pPr>
      <w:r>
        <w:rPr>
          <w:rFonts w:ascii="Times New Roman" w:hAnsi="Times New Roman" w:eastAsia="Calibri"/>
        </w:rPr>
        <w:t>Untuk melihat kemampuan perusahaan dalam melakukan asumsi adalah dengan melihat kemampuan-kemampuan dalam rasio profitabilitas dan likuiditasnya saja, namun dalam perbankan kecukupan modal juga sangat penting, rasio keuangan menjadi salah satu alat pengambil keputusan yang baik bagi pihak internal maupun eksternal perusahaan dalam menentukan kebijakan berikutnya.</w:t>
      </w:r>
    </w:p>
    <w:p>
      <w:pPr>
        <w:spacing w:line="480" w:lineRule="auto"/>
        <w:ind w:firstLine="720"/>
        <w:jc w:val="both"/>
        <w:rPr>
          <w:rFonts w:ascii="Times New Roman" w:hAnsi="Times New Roman" w:eastAsia="Calibri"/>
        </w:rPr>
      </w:pPr>
      <w:r>
        <w:rPr>
          <w:rFonts w:ascii="Times New Roman" w:hAnsi="Times New Roman" w:eastAsia="Calibri"/>
        </w:rPr>
        <w:t xml:space="preserve">Rasio kecukupan modal atau </w:t>
      </w:r>
      <w:r>
        <w:rPr>
          <w:rFonts w:ascii="Times New Roman" w:hAnsi="Times New Roman" w:eastAsia="Calibri"/>
          <w:i/>
          <w:iCs/>
        </w:rPr>
        <w:t xml:space="preserve">capital adequancy ratio </w:t>
      </w:r>
      <w:r>
        <w:rPr>
          <w:rFonts w:ascii="Times New Roman" w:hAnsi="Times New Roman" w:eastAsia="Calibri"/>
        </w:rPr>
        <w:t xml:space="preserve">(CAR) merupakan rasio untuk mengukur kecukupan modal dan mencerminkan modal sendiri bank. CAR juga merupakan alat ukur kesanggupan bank membangun kepercayaan masyarakat sehingga bank dapat menarik dana pihak ketiga (DPK). Semakin tinggi CAR maka semakin tinggi pula kemampuan bank tersebut untuk menanggung risiko dari setiap pembiayaan (Pet.Peny 2007:154). Rasio kecukupan modal merupakan rasio yang bertujuan untuk memastikan bahwa bank dapat menyerap kerugian yang timbul dari aktivitas yang dilakukannya (Dendawijaya :2009). Sedangkan penelitian yang dilakukan (Puspitasari :2009) menunjukkan bahwa CAR berpengaruh positif terhadap </w:t>
      </w:r>
      <w:r>
        <w:rPr>
          <w:rFonts w:ascii="Times New Roman" w:hAnsi="Times New Roman" w:eastAsia="Calibri"/>
          <w:i/>
          <w:iCs/>
        </w:rPr>
        <w:t>Return On Assets</w:t>
      </w:r>
      <w:r>
        <w:rPr>
          <w:rFonts w:ascii="Times New Roman" w:hAnsi="Times New Roman" w:eastAsia="Calibri"/>
        </w:rPr>
        <w:t xml:space="preserve"> pada studi bank devisa di Indonesia periode 2003-2007. Hal ini berbeda dengan hasil penelitian yang dilakukan (Dhian, dayinta: 2010) yang menunjukan bahwa CAR berpengaruh </w:t>
      </w:r>
      <w:r>
        <w:rPr>
          <w:rFonts w:ascii="Times New Roman" w:hAnsi="Times New Roman" w:eastAsia="Calibri"/>
          <w:i/>
          <w:iCs/>
        </w:rPr>
        <w:t xml:space="preserve">negative </w:t>
      </w:r>
      <w:r>
        <w:rPr>
          <w:rFonts w:ascii="Times New Roman" w:hAnsi="Times New Roman" w:eastAsia="Calibri"/>
        </w:rPr>
        <w:t>terhadap ROA pada studi empiris bank-bank umum yang beroprasi di Indonesia.</w:t>
      </w:r>
    </w:p>
    <w:p>
      <w:pPr>
        <w:spacing w:line="480" w:lineRule="auto"/>
        <w:ind w:firstLine="720"/>
        <w:jc w:val="both"/>
        <w:rPr>
          <w:rFonts w:ascii="Times New Roman" w:hAnsi="Times New Roman" w:eastAsia="Calibri"/>
        </w:rPr>
      </w:pPr>
      <w:r>
        <w:rPr>
          <w:rFonts w:ascii="Times New Roman" w:hAnsi="Times New Roman" w:eastAsia="Calibri"/>
        </w:rPr>
        <w:t xml:space="preserve">Selain itu, </w:t>
      </w:r>
      <w:r>
        <w:rPr>
          <w:rFonts w:ascii="Times New Roman" w:hAnsi="Times New Roman" w:eastAsia="Calibri"/>
          <w:i/>
          <w:iCs/>
        </w:rPr>
        <w:t>Financing to Deposit Ratio</w:t>
      </w:r>
      <w:r>
        <w:rPr>
          <w:rFonts w:ascii="Times New Roman" w:hAnsi="Times New Roman" w:eastAsia="Calibri"/>
        </w:rPr>
        <w:t>(FDR) rasio likuiditas bank, dijadikan sebagai variabel yang mempengaruhi ROA karena berkaitan dengan adanya pertentangan kepentingan (</w:t>
      </w:r>
      <w:r>
        <w:rPr>
          <w:rFonts w:ascii="Times New Roman" w:hAnsi="Times New Roman" w:eastAsia="Calibri"/>
          <w:i/>
          <w:iCs/>
        </w:rPr>
        <w:t>conflict of interest</w:t>
      </w:r>
      <w:r>
        <w:rPr>
          <w:rFonts w:ascii="Times New Roman" w:hAnsi="Times New Roman" w:eastAsia="Calibri"/>
        </w:rPr>
        <w:t>) antara likuiditas dengan profitabilitas.</w:t>
      </w:r>
    </w:p>
    <w:p>
      <w:pPr>
        <w:pStyle w:val="9"/>
        <w:spacing w:line="480" w:lineRule="auto"/>
        <w:ind w:firstLine="720"/>
        <w:jc w:val="both"/>
      </w:pPr>
      <w:r>
        <w:t xml:space="preserve">Semakin tinggi rasio FDR maka tingkat likuiditas Bank semakin rendah, karena jumlah dana yang digunakan untuk membiayai kredit semakin kecil, demikian pula sebaliknya (Amelia, 2011). Penelitian mengenai FDR menunjukan hasil yang berbeda, Arifa (2008) menunjukan hasil bahwa FDR tidak berpengaruh terhadap </w:t>
      </w:r>
      <w:r>
        <w:rPr>
          <w:i/>
          <w:iCs/>
        </w:rPr>
        <w:t>Return On assets</w:t>
      </w:r>
      <w:r>
        <w:t xml:space="preserve"> (ROA) sedangkan penelitian Amelia (2011) menunjukan bahwa FDR berpengaruh positif signifikan terhadap </w:t>
      </w:r>
      <w:r>
        <w:rPr>
          <w:i/>
          <w:iCs/>
        </w:rPr>
        <w:t xml:space="preserve">Return On Assets </w:t>
      </w:r>
      <w:r>
        <w:t>(ROA).</w:t>
      </w:r>
    </w:p>
    <w:p>
      <w:pPr>
        <w:spacing w:line="480" w:lineRule="auto"/>
        <w:ind w:firstLine="720"/>
        <w:jc w:val="both"/>
        <w:rPr>
          <w:rFonts w:ascii="Times New Roman" w:hAnsi="Times New Roman" w:eastAsia="Calibri"/>
        </w:rPr>
      </w:pPr>
      <w:r>
        <w:rPr>
          <w:rFonts w:ascii="Times New Roman" w:hAnsi="Times New Roman" w:eastAsia="Calibri"/>
        </w:rPr>
        <w:t xml:space="preserve">Bila ingin mempertahankan posisi likuiditas dengan memperbesar cadangan kas, maka bank tidak akan memakai seluruh dana yang layak dioperasikan </w:t>
      </w:r>
      <w:r>
        <w:rPr>
          <w:rFonts w:ascii="Times New Roman" w:hAnsi="Times New Roman" w:eastAsia="Calibri"/>
          <w:i/>
          <w:iCs/>
        </w:rPr>
        <w:t xml:space="preserve">(loanable funds) </w:t>
      </w:r>
      <w:r>
        <w:rPr>
          <w:rFonts w:ascii="Times New Roman" w:hAnsi="Times New Roman" w:eastAsia="Calibri"/>
        </w:rPr>
        <w:t xml:space="preserve">yang ada karena sebagian dikembalikan lagi dalam bentuk cadangan tunai </w:t>
      </w:r>
      <w:r>
        <w:rPr>
          <w:rFonts w:ascii="Times New Roman" w:hAnsi="Times New Roman" w:eastAsia="Calibri"/>
          <w:i/>
          <w:iCs/>
        </w:rPr>
        <w:t xml:space="preserve">(cash reserve), </w:t>
      </w:r>
      <w:r>
        <w:rPr>
          <w:rFonts w:ascii="Times New Roman" w:hAnsi="Times New Roman" w:eastAsia="Calibri"/>
        </w:rPr>
        <w:t xml:space="preserve">ini berarti usaha pencapaian profitabilitas akan berkurang. Sebaliknya, jika bank ingin meningkatkan profitabilitas, maka dengan cadangan tunai </w:t>
      </w:r>
      <w:r>
        <w:rPr>
          <w:rFonts w:ascii="Times New Roman" w:hAnsi="Times New Roman" w:eastAsia="Calibri"/>
          <w:i/>
          <w:iCs/>
        </w:rPr>
        <w:t>(cash reserve)</w:t>
      </w:r>
      <w:r>
        <w:rPr>
          <w:rFonts w:ascii="Times New Roman" w:hAnsi="Times New Roman" w:eastAsia="Calibri"/>
        </w:rPr>
        <w:t xml:space="preserve"> untuk likuiditas terpakai oleh bisnis bank, sehingga posisi likuiditas akan menurun. Jika rasio ini meningkat dalam batas tertentu maka akan semakin banyak dana yang disalurkan dalam pembiayaan, sehingga akan meningkatkan laba bank, dengan asumsi bank menyalurkan dananya untuk pembiayaan yang efektif (Ikatan Bankir Indonesia 2014:243).</w:t>
      </w:r>
    </w:p>
    <w:p>
      <w:pPr>
        <w:spacing w:line="480" w:lineRule="auto"/>
        <w:ind w:firstLine="720"/>
        <w:jc w:val="both"/>
        <w:rPr>
          <w:rFonts w:ascii="Times New Roman" w:hAnsi="Times New Roman" w:eastAsia="Calibri"/>
        </w:rPr>
      </w:pPr>
      <w:r>
        <w:rPr>
          <w:rFonts w:ascii="Times New Roman" w:hAnsi="Times New Roman" w:eastAsia="Calibri"/>
          <w:i/>
          <w:iCs/>
        </w:rPr>
        <w:t>Return On Assets</w:t>
      </w:r>
      <w:r>
        <w:rPr>
          <w:rFonts w:ascii="Times New Roman" w:hAnsi="Times New Roman" w:eastAsia="Calibri"/>
        </w:rPr>
        <w:t xml:space="preserve"> memberikan ukuran yang lebih baik atas profitabilitas perushaan karena menunjukkan efektivitas menejemen dalam menggunakan aktiva untuk memperoleh keuntungan. Semakin besar ROA suatu bank, semakin besar pula tingkat keuntungan yang dicapai oleh bank tersebut (Ikatan Bankir Indonesia 2014:37). Menurut Surat Edaran Bank Indonesia No. 13/24/DNDP tanggal 25 Oktober 2011. ROA merupakan rasio antara laba sebelum pajak terhadap total </w:t>
      </w:r>
      <w:r>
        <w:rPr>
          <w:rFonts w:ascii="Times New Roman" w:hAnsi="Times New Roman" w:eastAsia="Calibri"/>
          <w:i/>
          <w:iCs/>
        </w:rPr>
        <w:t>asset.</w:t>
      </w:r>
      <w:r>
        <w:rPr>
          <w:rFonts w:ascii="Times New Roman" w:hAnsi="Times New Roman" w:eastAsia="Calibri"/>
        </w:rPr>
        <w:t xml:space="preserve"> ROA penting bagi bank, karena ROA digunakan untuk mengukur efektifitas perushaan didalam menghasilkan keuntungan dengan memanfaatkan aktiva yang dimiliki.</w:t>
      </w:r>
    </w:p>
    <w:p>
      <w:pPr>
        <w:spacing w:line="480" w:lineRule="auto"/>
        <w:ind w:firstLine="720"/>
        <w:jc w:val="both"/>
        <w:rPr>
          <w:rFonts w:ascii="Times New Roman" w:hAnsi="Times New Roman" w:eastAsia="Calibri"/>
          <w:color w:val="000000" w:themeColor="text1"/>
          <w14:textFill>
            <w14:solidFill>
              <w14:schemeClr w14:val="tx1"/>
            </w14:solidFill>
          </w14:textFill>
        </w:rPr>
      </w:pPr>
      <w:r>
        <w:rPr>
          <w:rFonts w:ascii="Times New Roman" w:hAnsi="Times New Roman" w:eastAsia="Calibri"/>
        </w:rPr>
        <w:t xml:space="preserve">Setiap bank syariah memiliki cara sendiri dalam mengembangkan dan memperluas jasa layanan keuangannya. Bank BNI Syariah Tbk memulai perjalanan bisnisnya saat terjadi tempaan krisis moneter tahun 1997 yang membuktikan </w:t>
      </w:r>
      <w:r>
        <w:rPr>
          <w:rFonts w:ascii="Times New Roman" w:hAnsi="Times New Roman" w:eastAsia="Raleway"/>
          <w:color w:val="333333"/>
        </w:rPr>
        <w:t>ketangguhan sistem perbankan syariah. Prinsip Syariah dengan 3 (tiga) pilarnya yaitu adil, transparan dan maslahat mampu menjawab kebutuhan masyarakat terhadap sistem perbankan yang lebih adil. Dengan berlandaskan pada Undang-undang No.10 Tahun 1998, pada tanggal tanggal 29 April 2000 didirikan Unit Usaha Syariah (UUS) BNI dengan 5 kantor cabang di Yogyakarta, Malang, Pekalongan, Jepara dan Banjarmasin. Selanjutnya UUS BNI terus berkembang menjadi 28 Kantor Cabang dan 31 Kantor Cabang Pembantu.</w:t>
      </w:r>
      <w:r>
        <w:rPr>
          <w:rFonts w:ascii="Times New Roman" w:hAnsi="Times New Roman" w:eastAsia="Calibri"/>
        </w:rPr>
        <w:t xml:space="preserve"> Dari awal kemunculannya bank BNI Syariah yang beroperasi efektif pada tanggal 19 juni 2010 dengan </w:t>
      </w:r>
      <w:r>
        <w:rPr>
          <w:rFonts w:ascii="Times New Roman" w:hAnsi="Times New Roman" w:eastAsia="Raleway"/>
          <w:color w:val="000000" w:themeColor="text1"/>
          <w14:textFill>
            <w14:solidFill>
              <w14:schemeClr w14:val="tx1"/>
            </w14:solidFill>
          </w14:textFill>
        </w:rPr>
        <w:t>Surat Keputusan Menteri Hukum &amp; HAM Nomor : AHU-15574, AH.01.01.TAHUN 2010, TANGGAL 25 MARET 2010 Decree of Minister of Law and Human Rights No: AHU-15574,AH.01.01.Year 2010, dated March 25, 2010. Segmen usaha Bank BNI Syariah antara lain adalah bisnis komersial, bisnis konsumer dan ritel, bisnis mikro, bisnis tresuri dan internasional (www.bnisyariah.co.id)</w:t>
      </w:r>
    </w:p>
    <w:p>
      <w:pPr>
        <w:spacing w:line="480" w:lineRule="auto"/>
        <w:ind w:firstLine="720"/>
        <w:jc w:val="both"/>
        <w:rPr>
          <w:rFonts w:ascii="Times New Roman" w:hAnsi="Times New Roman" w:eastAsia="Calibri"/>
        </w:rPr>
      </w:pPr>
      <w:r>
        <w:rPr>
          <w:rFonts w:ascii="Times New Roman" w:hAnsi="Times New Roman" w:eastAsia="Calibri"/>
        </w:rPr>
        <w:t xml:space="preserve">Untuk melihat perkembangan </w:t>
      </w:r>
      <w:r>
        <w:rPr>
          <w:rFonts w:ascii="Times New Roman" w:hAnsi="Times New Roman" w:eastAsia="Calibri"/>
          <w:i/>
          <w:iCs/>
        </w:rPr>
        <w:t xml:space="preserve">Capital Adequacy Ratio </w:t>
      </w:r>
      <w:r>
        <w:rPr>
          <w:rFonts w:ascii="Times New Roman" w:hAnsi="Times New Roman" w:eastAsia="Calibri"/>
        </w:rPr>
        <w:t xml:space="preserve">(CAR), </w:t>
      </w:r>
      <w:r>
        <w:rPr>
          <w:rFonts w:ascii="Times New Roman" w:hAnsi="Times New Roman" w:eastAsia="Calibri"/>
          <w:i/>
          <w:iCs/>
        </w:rPr>
        <w:t xml:space="preserve">Financing to Deposit Ratio </w:t>
      </w:r>
      <w:r>
        <w:rPr>
          <w:rFonts w:ascii="Times New Roman" w:hAnsi="Times New Roman" w:eastAsia="Calibri"/>
        </w:rPr>
        <w:t xml:space="preserve">(FDR), dan </w:t>
      </w:r>
      <w:r>
        <w:rPr>
          <w:rFonts w:ascii="Times New Roman" w:hAnsi="Times New Roman" w:eastAsia="Calibri"/>
          <w:i/>
          <w:iCs/>
        </w:rPr>
        <w:t xml:space="preserve">Return On Assets </w:t>
      </w:r>
      <w:r>
        <w:rPr>
          <w:rFonts w:ascii="Times New Roman" w:hAnsi="Times New Roman" w:eastAsia="Calibri"/>
        </w:rPr>
        <w:t>(ROA) pada Bank BNI Syariah periode tahun 2012-2016 ditunjukkan didalam Tabel 1.1 berikut:</w:t>
      </w:r>
    </w:p>
    <w:p>
      <w:pPr>
        <w:spacing w:line="360" w:lineRule="auto"/>
        <w:jc w:val="center"/>
        <w:rPr>
          <w:rFonts w:ascii="Times New Roman" w:hAnsi="Times New Roman" w:eastAsia="Calibri"/>
          <w:b/>
          <w:bCs/>
        </w:rPr>
      </w:pPr>
      <w:r>
        <w:rPr>
          <w:rFonts w:ascii="Times New Roman" w:hAnsi="Times New Roman" w:eastAsia="Calibri"/>
          <w:b/>
          <w:bCs/>
        </w:rPr>
        <w:t>Tabel 1.1</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ascii="Times New Roman" w:hAnsi="Times New Roman" w:eastAsia="Calibri"/>
          <w:b/>
          <w:bCs/>
        </w:rPr>
      </w:pPr>
      <w:r>
        <w:rPr>
          <w:rFonts w:ascii="Times New Roman" w:hAnsi="Times New Roman" w:eastAsia="Calibri"/>
          <w:b/>
          <w:bCs/>
        </w:rPr>
        <w:t xml:space="preserve">Perkembangan Capital Adequacy Ratio (CAR), Financing to Deposit Ratio (FDR), dan Return On Assets (ROA)  pada Bank BNI Syariah </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ascii="Times New Roman" w:hAnsi="Times New Roman" w:eastAsia="Calibri"/>
          <w:b/>
          <w:bCs/>
        </w:rPr>
      </w:pPr>
      <w:r>
        <w:rPr>
          <w:rFonts w:ascii="Times New Roman" w:hAnsi="Times New Roman" w:eastAsia="Calibri"/>
          <w:b/>
          <w:bCs/>
        </w:rPr>
        <w:t>Periode 2012-2016</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ascii="Times New Roman" w:hAnsi="Times New Roman" w:eastAsia="Calibri"/>
          <w:b/>
          <w:bCs/>
        </w:rPr>
      </w:pPr>
    </w:p>
    <w:tbl>
      <w:tblPr>
        <w:tblStyle w:val="7"/>
        <w:tblW w:w="8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8"/>
        <w:gridCol w:w="2038"/>
        <w:gridCol w:w="2038"/>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8" w:type="dxa"/>
          </w:tcPr>
          <w:p>
            <w:pPr>
              <w:spacing w:line="360" w:lineRule="auto"/>
              <w:jc w:val="center"/>
              <w:rPr>
                <w:rFonts w:ascii="Times New Roman" w:hAnsi="Times New Roman" w:eastAsia="Calibri"/>
                <w:b/>
                <w:bCs/>
              </w:rPr>
            </w:pPr>
            <w:r>
              <w:rPr>
                <w:rFonts w:ascii="Times New Roman" w:hAnsi="Times New Roman" w:eastAsia="Calibri"/>
                <w:b/>
                <w:bCs/>
              </w:rPr>
              <w:t>Tahun</w:t>
            </w:r>
          </w:p>
        </w:tc>
        <w:tc>
          <w:tcPr>
            <w:tcW w:w="2038" w:type="dxa"/>
          </w:tcPr>
          <w:p>
            <w:pPr>
              <w:spacing w:line="360" w:lineRule="auto"/>
              <w:jc w:val="center"/>
              <w:rPr>
                <w:rFonts w:ascii="Times New Roman" w:hAnsi="Times New Roman" w:eastAsia="Calibri"/>
                <w:b/>
                <w:bCs/>
              </w:rPr>
            </w:pPr>
            <w:r>
              <w:rPr>
                <w:rFonts w:ascii="Times New Roman" w:hAnsi="Times New Roman" w:eastAsia="Calibri"/>
                <w:b/>
                <w:bCs/>
              </w:rPr>
              <w:t>CAR (%)</w:t>
            </w:r>
          </w:p>
        </w:tc>
        <w:tc>
          <w:tcPr>
            <w:tcW w:w="2038" w:type="dxa"/>
          </w:tcPr>
          <w:p>
            <w:pPr>
              <w:spacing w:line="360" w:lineRule="auto"/>
              <w:jc w:val="center"/>
              <w:rPr>
                <w:rFonts w:ascii="Times New Roman" w:hAnsi="Times New Roman" w:eastAsia="Calibri"/>
                <w:b/>
                <w:bCs/>
              </w:rPr>
            </w:pPr>
            <w:r>
              <w:rPr>
                <w:rFonts w:ascii="Times New Roman" w:hAnsi="Times New Roman" w:eastAsia="Calibri"/>
                <w:b/>
                <w:bCs/>
              </w:rPr>
              <w:t>FDR (%)</w:t>
            </w:r>
          </w:p>
        </w:tc>
        <w:tc>
          <w:tcPr>
            <w:tcW w:w="2039" w:type="dxa"/>
          </w:tcPr>
          <w:p>
            <w:pPr>
              <w:spacing w:line="360" w:lineRule="auto"/>
              <w:jc w:val="center"/>
              <w:rPr>
                <w:rFonts w:ascii="Times New Roman" w:hAnsi="Times New Roman" w:eastAsia="Calibri"/>
                <w:b/>
                <w:bCs/>
              </w:rPr>
            </w:pPr>
            <w:r>
              <w:rPr>
                <w:rFonts w:ascii="Times New Roman" w:hAnsi="Times New Roman" w:eastAsia="Calibri"/>
                <w:b/>
                <w:bCs/>
              </w:rPr>
              <w:t>ROA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8" w:type="dxa"/>
          </w:tcPr>
          <w:p>
            <w:pPr>
              <w:spacing w:line="360" w:lineRule="auto"/>
              <w:jc w:val="center"/>
              <w:rPr>
                <w:rFonts w:ascii="Times New Roman" w:hAnsi="Times New Roman" w:eastAsia="Calibri"/>
                <w:b/>
                <w:bCs/>
              </w:rPr>
            </w:pPr>
            <w:r>
              <w:rPr>
                <w:rFonts w:ascii="Times New Roman" w:hAnsi="Times New Roman" w:eastAsia="Calibri"/>
                <w:b/>
                <w:bCs/>
              </w:rPr>
              <w:t>2012</w:t>
            </w:r>
          </w:p>
        </w:tc>
        <w:tc>
          <w:tcPr>
            <w:tcW w:w="2038" w:type="dxa"/>
          </w:tcPr>
          <w:p>
            <w:pPr>
              <w:spacing w:line="360" w:lineRule="auto"/>
              <w:jc w:val="center"/>
              <w:rPr>
                <w:rFonts w:ascii="Times New Roman" w:hAnsi="Times New Roman" w:eastAsia="Calibri"/>
              </w:rPr>
            </w:pPr>
            <w:r>
              <w:rPr>
                <w:rFonts w:ascii="Times New Roman" w:hAnsi="Times New Roman" w:eastAsia="Calibri"/>
              </w:rPr>
              <w:t>19,29%</w:t>
            </w:r>
          </w:p>
        </w:tc>
        <w:tc>
          <w:tcPr>
            <w:tcW w:w="2038" w:type="dxa"/>
          </w:tcPr>
          <w:p>
            <w:pPr>
              <w:spacing w:line="360" w:lineRule="auto"/>
              <w:jc w:val="center"/>
              <w:rPr>
                <w:rFonts w:ascii="Times New Roman" w:hAnsi="Times New Roman" w:eastAsia="Calibri"/>
              </w:rPr>
            </w:pPr>
            <w:r>
              <w:rPr>
                <w:rFonts w:ascii="Times New Roman" w:hAnsi="Times New Roman" w:eastAsia="Calibri"/>
              </w:rPr>
              <w:t>84,99%</w:t>
            </w:r>
          </w:p>
        </w:tc>
        <w:tc>
          <w:tcPr>
            <w:tcW w:w="2039" w:type="dxa"/>
          </w:tcPr>
          <w:p>
            <w:pPr>
              <w:spacing w:line="360" w:lineRule="auto"/>
              <w:jc w:val="center"/>
              <w:rPr>
                <w:rFonts w:ascii="Times New Roman" w:hAnsi="Times New Roman" w:eastAsia="Calibri"/>
              </w:rPr>
            </w:pPr>
            <w:r>
              <w:rPr>
                <w:rFonts w:ascii="Times New Roman" w:hAnsi="Times New Roman" w:eastAsia="Calibri"/>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8" w:type="dxa"/>
          </w:tcPr>
          <w:p>
            <w:pPr>
              <w:spacing w:line="360" w:lineRule="auto"/>
              <w:jc w:val="center"/>
              <w:rPr>
                <w:rFonts w:ascii="Times New Roman" w:hAnsi="Times New Roman" w:eastAsia="Calibri"/>
                <w:b/>
                <w:bCs/>
              </w:rPr>
            </w:pPr>
            <w:r>
              <w:rPr>
                <w:rFonts w:ascii="Times New Roman" w:hAnsi="Times New Roman" w:eastAsia="Calibri"/>
                <w:b/>
                <w:bCs/>
              </w:rPr>
              <w:t>2013</w:t>
            </w:r>
          </w:p>
        </w:tc>
        <w:tc>
          <w:tcPr>
            <w:tcW w:w="2038" w:type="dxa"/>
          </w:tcPr>
          <w:p>
            <w:pPr>
              <w:spacing w:line="360" w:lineRule="auto"/>
              <w:jc w:val="center"/>
              <w:rPr>
                <w:rFonts w:ascii="Times New Roman" w:hAnsi="Times New Roman" w:eastAsia="Calibri"/>
              </w:rPr>
            </w:pPr>
            <w:r>
              <w:rPr>
                <w:rFonts w:ascii="Times New Roman" w:hAnsi="Times New Roman" w:eastAsia="Calibri"/>
              </w:rPr>
              <w:t>16,54%</w:t>
            </w:r>
          </w:p>
        </w:tc>
        <w:tc>
          <w:tcPr>
            <w:tcW w:w="2038" w:type="dxa"/>
          </w:tcPr>
          <w:p>
            <w:pPr>
              <w:spacing w:line="360" w:lineRule="auto"/>
              <w:jc w:val="center"/>
              <w:rPr>
                <w:rFonts w:ascii="Times New Roman" w:hAnsi="Times New Roman" w:eastAsia="Calibri"/>
              </w:rPr>
            </w:pPr>
            <w:r>
              <w:rPr>
                <w:rFonts w:ascii="Times New Roman" w:hAnsi="Times New Roman" w:eastAsia="Calibri"/>
              </w:rPr>
              <w:t>97,86%</w:t>
            </w:r>
          </w:p>
        </w:tc>
        <w:tc>
          <w:tcPr>
            <w:tcW w:w="2039" w:type="dxa"/>
          </w:tcPr>
          <w:p>
            <w:pPr>
              <w:spacing w:line="360" w:lineRule="auto"/>
              <w:jc w:val="center"/>
              <w:rPr>
                <w:rFonts w:ascii="Times New Roman" w:hAnsi="Times New Roman" w:eastAsia="Calibri"/>
              </w:rPr>
            </w:pPr>
            <w:r>
              <w:rPr>
                <w:rFonts w:ascii="Times New Roman" w:hAnsi="Times New Roman" w:eastAsia="Calibri"/>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8" w:type="dxa"/>
          </w:tcPr>
          <w:p>
            <w:pPr>
              <w:spacing w:line="360" w:lineRule="auto"/>
              <w:jc w:val="center"/>
              <w:rPr>
                <w:rFonts w:ascii="Times New Roman" w:hAnsi="Times New Roman" w:eastAsia="Calibri"/>
                <w:b/>
                <w:bCs/>
              </w:rPr>
            </w:pPr>
            <w:r>
              <w:rPr>
                <w:rFonts w:ascii="Times New Roman" w:hAnsi="Times New Roman" w:eastAsia="Calibri"/>
                <w:b/>
                <w:bCs/>
              </w:rPr>
              <w:t>2014</w:t>
            </w:r>
          </w:p>
        </w:tc>
        <w:tc>
          <w:tcPr>
            <w:tcW w:w="2038" w:type="dxa"/>
          </w:tcPr>
          <w:p>
            <w:pPr>
              <w:spacing w:line="360" w:lineRule="auto"/>
              <w:jc w:val="center"/>
              <w:rPr>
                <w:rFonts w:ascii="Times New Roman" w:hAnsi="Times New Roman" w:eastAsia="Calibri"/>
              </w:rPr>
            </w:pPr>
            <w:r>
              <w:rPr>
                <w:rFonts w:ascii="Times New Roman" w:hAnsi="Times New Roman" w:eastAsia="Calibri"/>
              </w:rPr>
              <w:t>18,76%</w:t>
            </w:r>
          </w:p>
        </w:tc>
        <w:tc>
          <w:tcPr>
            <w:tcW w:w="2038" w:type="dxa"/>
          </w:tcPr>
          <w:p>
            <w:pPr>
              <w:spacing w:line="360" w:lineRule="auto"/>
              <w:jc w:val="center"/>
              <w:rPr>
                <w:rFonts w:ascii="Times New Roman" w:hAnsi="Times New Roman" w:eastAsia="Calibri"/>
              </w:rPr>
            </w:pPr>
            <w:r>
              <w:rPr>
                <w:rFonts w:ascii="Times New Roman" w:hAnsi="Times New Roman" w:eastAsia="Calibri"/>
              </w:rPr>
              <w:t>92,60%</w:t>
            </w:r>
          </w:p>
        </w:tc>
        <w:tc>
          <w:tcPr>
            <w:tcW w:w="2039" w:type="dxa"/>
          </w:tcPr>
          <w:p>
            <w:pPr>
              <w:spacing w:line="360" w:lineRule="auto"/>
              <w:jc w:val="center"/>
              <w:rPr>
                <w:rFonts w:ascii="Times New Roman" w:hAnsi="Times New Roman" w:eastAsia="Calibri"/>
              </w:rPr>
            </w:pPr>
            <w:r>
              <w:rPr>
                <w:rFonts w:ascii="Times New Roman" w:hAnsi="Times New Roman" w:eastAsia="Calibri"/>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8" w:type="dxa"/>
          </w:tcPr>
          <w:p>
            <w:pPr>
              <w:spacing w:line="360" w:lineRule="auto"/>
              <w:jc w:val="center"/>
              <w:rPr>
                <w:rFonts w:ascii="Times New Roman" w:hAnsi="Times New Roman" w:eastAsia="Calibri"/>
                <w:b/>
                <w:bCs/>
              </w:rPr>
            </w:pPr>
            <w:r>
              <w:rPr>
                <w:rFonts w:ascii="Times New Roman" w:hAnsi="Times New Roman" w:eastAsia="Calibri"/>
                <w:b/>
                <w:bCs/>
              </w:rPr>
              <w:t>2015</w:t>
            </w:r>
          </w:p>
        </w:tc>
        <w:tc>
          <w:tcPr>
            <w:tcW w:w="2038" w:type="dxa"/>
          </w:tcPr>
          <w:p>
            <w:pPr>
              <w:spacing w:line="360" w:lineRule="auto"/>
              <w:jc w:val="center"/>
              <w:rPr>
                <w:rFonts w:ascii="Times New Roman" w:hAnsi="Times New Roman" w:eastAsia="Calibri"/>
              </w:rPr>
            </w:pPr>
            <w:r>
              <w:rPr>
                <w:rFonts w:ascii="Times New Roman" w:hAnsi="Times New Roman" w:eastAsia="Calibri"/>
              </w:rPr>
              <w:t>18,16%</w:t>
            </w:r>
          </w:p>
        </w:tc>
        <w:tc>
          <w:tcPr>
            <w:tcW w:w="2038" w:type="dxa"/>
          </w:tcPr>
          <w:p>
            <w:pPr>
              <w:spacing w:line="360" w:lineRule="auto"/>
              <w:jc w:val="center"/>
              <w:rPr>
                <w:rFonts w:ascii="Times New Roman" w:hAnsi="Times New Roman" w:eastAsia="Calibri"/>
              </w:rPr>
            </w:pPr>
            <w:r>
              <w:rPr>
                <w:rFonts w:ascii="Times New Roman" w:hAnsi="Times New Roman" w:eastAsia="Calibri"/>
              </w:rPr>
              <w:t>91,94%</w:t>
            </w:r>
          </w:p>
        </w:tc>
        <w:tc>
          <w:tcPr>
            <w:tcW w:w="2039" w:type="dxa"/>
          </w:tcPr>
          <w:p>
            <w:pPr>
              <w:spacing w:line="360" w:lineRule="auto"/>
              <w:jc w:val="center"/>
              <w:rPr>
                <w:rFonts w:ascii="Times New Roman" w:hAnsi="Times New Roman" w:eastAsia="Calibri"/>
              </w:rPr>
            </w:pPr>
            <w:r>
              <w:rPr>
                <w:rFonts w:ascii="Times New Roman" w:hAnsi="Times New Roman" w:eastAsia="Calibri"/>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8" w:type="dxa"/>
          </w:tcPr>
          <w:p>
            <w:pPr>
              <w:spacing w:line="360" w:lineRule="auto"/>
              <w:jc w:val="center"/>
              <w:rPr>
                <w:rFonts w:ascii="Times New Roman" w:hAnsi="Times New Roman" w:eastAsia="Calibri"/>
                <w:b/>
                <w:bCs/>
              </w:rPr>
            </w:pPr>
            <w:r>
              <w:rPr>
                <w:rFonts w:ascii="Times New Roman" w:hAnsi="Times New Roman" w:eastAsia="Calibri"/>
                <w:b/>
                <w:bCs/>
              </w:rPr>
              <w:t>2016</w:t>
            </w:r>
          </w:p>
        </w:tc>
        <w:tc>
          <w:tcPr>
            <w:tcW w:w="2038" w:type="dxa"/>
          </w:tcPr>
          <w:p>
            <w:pPr>
              <w:spacing w:line="360" w:lineRule="auto"/>
              <w:jc w:val="center"/>
              <w:rPr>
                <w:rFonts w:ascii="Times New Roman" w:hAnsi="Times New Roman" w:eastAsia="Calibri"/>
              </w:rPr>
            </w:pPr>
            <w:r>
              <w:rPr>
                <w:rFonts w:ascii="Times New Roman" w:hAnsi="Times New Roman" w:eastAsia="Calibri"/>
              </w:rPr>
              <w:t>17,81%</w:t>
            </w:r>
          </w:p>
        </w:tc>
        <w:tc>
          <w:tcPr>
            <w:tcW w:w="2038" w:type="dxa"/>
          </w:tcPr>
          <w:p>
            <w:pPr>
              <w:spacing w:line="360" w:lineRule="auto"/>
              <w:jc w:val="center"/>
              <w:rPr>
                <w:rFonts w:ascii="Times New Roman" w:hAnsi="Times New Roman" w:eastAsia="Calibri"/>
              </w:rPr>
            </w:pPr>
            <w:r>
              <w:rPr>
                <w:rFonts w:ascii="Times New Roman" w:hAnsi="Times New Roman" w:eastAsia="Calibri"/>
              </w:rPr>
              <w:t>84,57%</w:t>
            </w:r>
          </w:p>
        </w:tc>
        <w:tc>
          <w:tcPr>
            <w:tcW w:w="2039" w:type="dxa"/>
          </w:tcPr>
          <w:p>
            <w:pPr>
              <w:spacing w:line="360" w:lineRule="auto"/>
              <w:jc w:val="center"/>
              <w:rPr>
                <w:rFonts w:ascii="Times New Roman" w:hAnsi="Times New Roman" w:eastAsia="Calibri"/>
              </w:rPr>
            </w:pPr>
            <w:r>
              <w:rPr>
                <w:rFonts w:ascii="Times New Roman" w:hAnsi="Times New Roman" w:eastAsia="Calibri"/>
              </w:rPr>
              <w:t>1,44%</w:t>
            </w:r>
          </w:p>
        </w:tc>
      </w:tr>
    </w:tbl>
    <w:p>
      <w:pPr>
        <w:spacing w:line="360" w:lineRule="auto"/>
        <w:ind w:firstLine="720"/>
        <w:jc w:val="both"/>
        <w:rPr>
          <w:rFonts w:ascii="Times New Roman" w:hAnsi="Times New Roman" w:eastAsia="Calibri"/>
          <w:b/>
          <w:bCs/>
        </w:rPr>
      </w:pPr>
      <w:r>
        <w:rPr>
          <w:rFonts w:ascii="Times New Roman" w:hAnsi="Times New Roman" w:eastAsia="Calibri"/>
          <w:b/>
          <w:bCs/>
        </w:rPr>
        <w:t xml:space="preserve">Sumber : </w:t>
      </w:r>
      <w:r>
        <w:rPr>
          <w:rFonts w:ascii="Times New Roman" w:hAnsi="Times New Roman" w:eastAsia="Calibri"/>
          <w:b/>
          <w:bCs/>
          <w:i/>
          <w:iCs/>
        </w:rPr>
        <w:t xml:space="preserve">Annual Report </w:t>
      </w:r>
      <w:r>
        <w:rPr>
          <w:rFonts w:ascii="Times New Roman" w:hAnsi="Times New Roman" w:eastAsia="Calibri"/>
          <w:b/>
          <w:bCs/>
        </w:rPr>
        <w:t>Bank BNI Syariah periode 2012-2016</w:t>
      </w:r>
    </w:p>
    <w:p>
      <w:pPr>
        <w:spacing w:line="480" w:lineRule="auto"/>
        <w:jc w:val="both"/>
        <w:rPr>
          <w:rFonts w:ascii="Times New Roman" w:hAnsi="Times New Roman" w:eastAsia="Calibri"/>
        </w:rPr>
      </w:pPr>
      <w:r>
        <w:rPr>
          <w:rFonts w:ascii="Times New Roman" w:hAnsi="Times New Roman" w:eastAsia="Calibri"/>
        </w:rPr>
        <w:tab/>
      </w:r>
      <w:r>
        <w:rPr>
          <w:rFonts w:ascii="Times New Roman" w:hAnsi="Times New Roman" w:eastAsia="Calibri"/>
        </w:rPr>
        <w:t xml:space="preserve">Berdasarkan data yang ada pada tabel 1.1 dapat dilihat perkembangan presentase dari </w:t>
      </w:r>
      <w:r>
        <w:rPr>
          <w:rFonts w:ascii="Times New Roman" w:hAnsi="Times New Roman" w:eastAsia="Calibri"/>
          <w:i/>
          <w:iCs/>
        </w:rPr>
        <w:t xml:space="preserve">Capital Adequacy Ratio(CAR), Financing to Deposit Ratio(FDR), dan Return On Assets(ROA) </w:t>
      </w:r>
      <w:r>
        <w:rPr>
          <w:rFonts w:ascii="Times New Roman" w:hAnsi="Times New Roman" w:eastAsia="Calibri"/>
        </w:rPr>
        <w:t>pada Bank BNI Syariah Periode 2012-2016 mengalami fluktuasi setiap tahunnya. Kondisi CAR pada tahun 2014-2015 mengalami penurunan dari 18,76% menjadi 18,16%, sedangkan ROA mengalami kenaikan dari 1,27% menjadi 1,43%. ROA pada tahun 2015-2016 mengalami kenaikan dari 1,43% menjadi 1,44%, sedangkan CAR mengalami penurunan ditahun yang sama dari 18,16% menjadi 17,81% dan kondisi FDR mengalami kenaikan ditahun 2012-2013 dari 84,99% menjadi 97,86%, dan pada tahun yang sama ROA mengalami penurunan dari 1,48% menjadi 1,37% pada tahun 2015-2016 FDR mengalami penurunan dari 91,94% menjadi 84,57% sedangkan ROA ditahun yang sama mengalami kenaikan dari 1,43% menjadi 1,44%.</w:t>
      </w:r>
    </w:p>
    <w:p>
      <w:pPr>
        <w:spacing w:line="480" w:lineRule="auto"/>
        <w:ind w:firstLine="720"/>
        <w:jc w:val="both"/>
        <w:rPr>
          <w:rFonts w:ascii="Times New Roman" w:hAnsi="Times New Roman" w:eastAsia="Calibri"/>
        </w:rPr>
      </w:pPr>
      <w:r>
        <w:rPr>
          <w:rFonts w:ascii="Times New Roman" w:hAnsi="Times New Roman" w:eastAsia="Calibri"/>
        </w:rPr>
        <w:t xml:space="preserve">Fenomena ini juga sesuai dengan hasil penelitian oleh Bambang sudiyanto (2010), bahwa </w:t>
      </w:r>
      <w:r>
        <w:rPr>
          <w:rFonts w:ascii="Times New Roman" w:hAnsi="Times New Roman" w:eastAsia="Calibri"/>
          <w:i/>
          <w:iCs/>
        </w:rPr>
        <w:t xml:space="preserve">capital adequacy ratio </w:t>
      </w:r>
      <w:r>
        <w:rPr>
          <w:rFonts w:ascii="Times New Roman" w:hAnsi="Times New Roman" w:eastAsia="Calibri"/>
        </w:rPr>
        <w:t xml:space="preserve">(CAR) berpengaruh positif dan signifikan terhadap kinerja bank </w:t>
      </w:r>
      <w:r>
        <w:rPr>
          <w:rFonts w:ascii="Times New Roman" w:hAnsi="Times New Roman" w:eastAsia="Calibri"/>
          <w:i/>
          <w:iCs/>
        </w:rPr>
        <w:t xml:space="preserve">return on assets </w:t>
      </w:r>
      <w:r>
        <w:rPr>
          <w:rFonts w:ascii="Times New Roman" w:hAnsi="Times New Roman" w:eastAsia="Calibri"/>
        </w:rPr>
        <w:t xml:space="preserve">(ROA), dan </w:t>
      </w:r>
      <w:r>
        <w:rPr>
          <w:rFonts w:ascii="Times New Roman" w:hAnsi="Times New Roman" w:eastAsia="Calibri"/>
          <w:i/>
          <w:iCs/>
        </w:rPr>
        <w:t xml:space="preserve">financing to deposit ratio </w:t>
      </w:r>
      <w:r>
        <w:rPr>
          <w:rFonts w:ascii="Times New Roman" w:hAnsi="Times New Roman" w:eastAsia="Calibri"/>
        </w:rPr>
        <w:t xml:space="preserve">(FDR) berpengaruh positif tidak signifikan terhadap kinerja bank </w:t>
      </w:r>
      <w:r>
        <w:rPr>
          <w:rFonts w:ascii="Times New Roman" w:hAnsi="Times New Roman" w:eastAsia="Calibri"/>
          <w:i/>
          <w:iCs/>
        </w:rPr>
        <w:t xml:space="preserve">return on assets </w:t>
      </w:r>
      <w:r>
        <w:rPr>
          <w:rFonts w:ascii="Times New Roman" w:hAnsi="Times New Roman" w:eastAsia="Calibri"/>
        </w:rPr>
        <w:t xml:space="preserve">(ROA) atau berpengaruh sangat kecil terhadap </w:t>
      </w:r>
      <w:r>
        <w:rPr>
          <w:rFonts w:ascii="Times New Roman" w:hAnsi="Times New Roman" w:eastAsia="Calibri"/>
          <w:i/>
          <w:iCs/>
        </w:rPr>
        <w:t xml:space="preserve">return on assets </w:t>
      </w:r>
      <w:r>
        <w:rPr>
          <w:rFonts w:ascii="Times New Roman" w:hAnsi="Times New Roman" w:eastAsia="Calibri"/>
        </w:rPr>
        <w:t xml:space="preserve">(ROA). </w:t>
      </w:r>
    </w:p>
    <w:p>
      <w:pPr>
        <w:spacing w:line="480" w:lineRule="auto"/>
        <w:jc w:val="both"/>
        <w:rPr>
          <w:rFonts w:ascii="Times New Roman" w:hAnsi="Times New Roman" w:eastAsia="Calibri"/>
        </w:rPr>
      </w:pPr>
      <w:r>
        <w:rPr>
          <w:rFonts w:ascii="Times New Roman" w:hAnsi="Times New Roman" w:eastAsia="Calibri"/>
        </w:rPr>
        <w:t xml:space="preserve">Hasil penelitian yang dilakukan oleh Sari Ayu Widowati (2015) menunjukan bahwa </w:t>
      </w:r>
      <w:r>
        <w:rPr>
          <w:rFonts w:ascii="Times New Roman" w:hAnsi="Times New Roman" w:eastAsia="Calibri"/>
          <w:i/>
          <w:iCs/>
        </w:rPr>
        <w:t xml:space="preserve">financing to Deposit Ratio </w:t>
      </w:r>
      <w:r>
        <w:rPr>
          <w:rFonts w:ascii="Times New Roman" w:hAnsi="Times New Roman" w:eastAsia="Calibri"/>
        </w:rPr>
        <w:t xml:space="preserve">(FDR) berpengaruh positif terhadap </w:t>
      </w:r>
      <w:r>
        <w:rPr>
          <w:rFonts w:ascii="Times New Roman" w:hAnsi="Times New Roman" w:eastAsia="Calibri"/>
          <w:i/>
          <w:iCs/>
        </w:rPr>
        <w:t>return on assets</w:t>
      </w:r>
      <w:r>
        <w:rPr>
          <w:rFonts w:ascii="Times New Roman" w:hAnsi="Times New Roman" w:eastAsia="Calibri"/>
        </w:rPr>
        <w:t xml:space="preserve"> (ROA). Sedangkan hasil penelitian yang dilakukan oleh </w:t>
      </w:r>
      <w:r>
        <w:rPr>
          <w:rFonts w:ascii="Times New Roman" w:hAnsi="Times New Roman" w:eastAsia="Calibri"/>
          <w:lang w:val="id-ID"/>
        </w:rPr>
        <w:t>H</w:t>
      </w:r>
      <w:r>
        <w:rPr>
          <w:rFonts w:ascii="Times New Roman" w:hAnsi="Times New Roman" w:eastAsia="Calibri"/>
        </w:rPr>
        <w:t xml:space="preserve">esti </w:t>
      </w:r>
      <w:r>
        <w:rPr>
          <w:rFonts w:ascii="Times New Roman" w:hAnsi="Times New Roman" w:eastAsia="Calibri"/>
          <w:lang w:val="id-ID"/>
        </w:rPr>
        <w:t>W</w:t>
      </w:r>
      <w:bookmarkStart w:id="0" w:name="_GoBack"/>
      <w:bookmarkEnd w:id="0"/>
      <w:r>
        <w:rPr>
          <w:rFonts w:ascii="Times New Roman" w:hAnsi="Times New Roman" w:eastAsia="Calibri"/>
        </w:rPr>
        <w:t xml:space="preserve">erganingtyas (2002) menunjukan adanya pengaruh negatif antara variabel </w:t>
      </w:r>
      <w:r>
        <w:rPr>
          <w:rFonts w:ascii="Times New Roman" w:hAnsi="Times New Roman" w:eastAsia="Calibri"/>
          <w:i/>
          <w:iCs/>
        </w:rPr>
        <w:t xml:space="preserve">financing to deposit ratio </w:t>
      </w:r>
      <w:r>
        <w:rPr>
          <w:rFonts w:ascii="Times New Roman" w:hAnsi="Times New Roman" w:eastAsia="Calibri"/>
        </w:rPr>
        <w:t xml:space="preserve">(FDR) terhadap </w:t>
      </w:r>
      <w:r>
        <w:rPr>
          <w:rFonts w:ascii="Times New Roman" w:hAnsi="Times New Roman" w:eastAsia="Calibri"/>
          <w:i/>
          <w:iCs/>
        </w:rPr>
        <w:t xml:space="preserve">return on assets </w:t>
      </w:r>
      <w:r>
        <w:rPr>
          <w:rFonts w:ascii="Times New Roman" w:hAnsi="Times New Roman" w:eastAsia="Calibri"/>
        </w:rPr>
        <w:t>(ROA).</w:t>
      </w:r>
      <w:r>
        <w:rPr>
          <w:rFonts w:ascii="Times New Roman" w:hAnsi="Times New Roman" w:eastAsia="Calibri"/>
        </w:rPr>
        <w:tab/>
      </w:r>
    </w:p>
    <w:p>
      <w:pPr>
        <w:spacing w:line="480" w:lineRule="auto"/>
        <w:ind w:firstLine="720"/>
        <w:jc w:val="both"/>
        <w:rPr>
          <w:rFonts w:ascii="Times New Roman" w:hAnsi="Times New Roman" w:eastAsia="Calibri"/>
          <w:b/>
          <w:bCs/>
        </w:rPr>
      </w:pPr>
      <w:r>
        <w:rPr>
          <w:rFonts w:ascii="Times New Roman" w:hAnsi="Times New Roman" w:eastAsia="Calibri"/>
        </w:rPr>
        <w:t xml:space="preserve">Berdasarkan uraian diatas maka penyusun tertarik untuk menyusun skripsi dengan judul </w:t>
      </w:r>
      <w:r>
        <w:rPr>
          <w:rFonts w:ascii="Times New Roman" w:hAnsi="Times New Roman" w:eastAsia="Calibri"/>
          <w:b/>
          <w:bCs/>
        </w:rPr>
        <w:t xml:space="preserve">“Pengaruh </w:t>
      </w:r>
      <w:r>
        <w:rPr>
          <w:rFonts w:ascii="Times New Roman" w:hAnsi="Times New Roman" w:eastAsia="Calibri"/>
          <w:b/>
          <w:bCs/>
          <w:i/>
          <w:iCs/>
        </w:rPr>
        <w:t xml:space="preserve">Capital Adequacy Ratio </w:t>
      </w:r>
      <w:r>
        <w:rPr>
          <w:rFonts w:ascii="Times New Roman" w:hAnsi="Times New Roman" w:eastAsia="Calibri"/>
          <w:b/>
          <w:bCs/>
        </w:rPr>
        <w:t xml:space="preserve">(CAR) dan </w:t>
      </w:r>
      <w:r>
        <w:rPr>
          <w:rFonts w:ascii="Times New Roman" w:hAnsi="Times New Roman" w:eastAsia="Calibri"/>
          <w:b/>
          <w:bCs/>
          <w:i/>
          <w:iCs/>
        </w:rPr>
        <w:t xml:space="preserve">Financing to Deposit Ratio </w:t>
      </w:r>
      <w:r>
        <w:rPr>
          <w:rFonts w:ascii="Times New Roman" w:hAnsi="Times New Roman" w:eastAsia="Calibri"/>
          <w:b/>
          <w:bCs/>
        </w:rPr>
        <w:t xml:space="preserve">(FDR) terhadap </w:t>
      </w:r>
      <w:r>
        <w:rPr>
          <w:rFonts w:ascii="Times New Roman" w:hAnsi="Times New Roman" w:eastAsia="Calibri"/>
          <w:b/>
          <w:bCs/>
          <w:i/>
          <w:iCs/>
        </w:rPr>
        <w:t xml:space="preserve">Return On Assets </w:t>
      </w:r>
      <w:r>
        <w:rPr>
          <w:rFonts w:ascii="Times New Roman" w:hAnsi="Times New Roman" w:eastAsia="Calibri"/>
          <w:b/>
          <w:bCs/>
        </w:rPr>
        <w:t>(ROA) pada Bank BNI Syariah periode 2012-2016”</w:t>
      </w:r>
    </w:p>
    <w:p>
      <w:pPr>
        <w:spacing w:line="360" w:lineRule="auto"/>
        <w:jc w:val="both"/>
        <w:rPr>
          <w:rFonts w:ascii="Times New Roman" w:hAnsi="Times New Roman" w:eastAsia="Calibri"/>
          <w:b/>
          <w:bCs/>
        </w:rPr>
      </w:pPr>
      <w:r>
        <w:rPr>
          <w:rFonts w:ascii="Times New Roman" w:hAnsi="Times New Roman" w:eastAsia="Calibri"/>
          <w:b/>
          <w:bCs/>
        </w:rPr>
        <w:t>1.2 Rumusan Masalah</w:t>
      </w:r>
    </w:p>
    <w:p>
      <w:pPr>
        <w:spacing w:line="480" w:lineRule="auto"/>
        <w:jc w:val="both"/>
        <w:rPr>
          <w:rFonts w:ascii="Times New Roman" w:hAnsi="Times New Roman" w:eastAsia="Calibri"/>
        </w:rPr>
      </w:pPr>
      <w:r>
        <w:rPr>
          <w:rFonts w:ascii="Times New Roman" w:hAnsi="Times New Roman" w:eastAsia="Calibri"/>
        </w:rPr>
        <w:tab/>
      </w:r>
      <w:r>
        <w:rPr>
          <w:rFonts w:ascii="Times New Roman" w:hAnsi="Times New Roman" w:eastAsia="Calibri"/>
        </w:rPr>
        <w:t>Dari uraian pada latar belakang  penelitian, maka penulis mengidentifikasi pokok permasalahan sebagai berikut:</w:t>
      </w:r>
    </w:p>
    <w:p>
      <w:pPr>
        <w:pStyle w:val="8"/>
        <w:numPr>
          <w:ilvl w:val="0"/>
          <w:numId w:val="1"/>
        </w:numPr>
        <w:spacing w:line="480" w:lineRule="auto"/>
        <w:jc w:val="both"/>
        <w:rPr>
          <w:rFonts w:ascii="Times New Roman" w:hAnsi="Times New Roman" w:eastAsia="Calibri"/>
        </w:rPr>
      </w:pPr>
      <w:r>
        <w:rPr>
          <w:rFonts w:ascii="Times New Roman" w:hAnsi="Times New Roman" w:eastAsia="Calibri"/>
        </w:rPr>
        <w:t xml:space="preserve">Bagaimana perkembangan </w:t>
      </w:r>
      <w:r>
        <w:rPr>
          <w:rFonts w:ascii="Times New Roman" w:hAnsi="Times New Roman" w:eastAsia="Calibri"/>
          <w:i/>
          <w:iCs/>
        </w:rPr>
        <w:t xml:space="preserve">capital adequacy ratio </w:t>
      </w:r>
      <w:r>
        <w:rPr>
          <w:rFonts w:ascii="Times New Roman" w:hAnsi="Times New Roman" w:eastAsia="Calibri"/>
        </w:rPr>
        <w:t>(CAR) pada Bank BNI Syariah pada periode tahun 2012-2016?</w:t>
      </w:r>
    </w:p>
    <w:p>
      <w:pPr>
        <w:pStyle w:val="8"/>
        <w:numPr>
          <w:ilvl w:val="0"/>
          <w:numId w:val="1"/>
        </w:numPr>
        <w:spacing w:line="480" w:lineRule="auto"/>
        <w:jc w:val="both"/>
        <w:rPr>
          <w:rFonts w:ascii="Times New Roman" w:hAnsi="Times New Roman" w:eastAsia="Calibri"/>
        </w:rPr>
      </w:pPr>
      <w:r>
        <w:rPr>
          <w:rFonts w:ascii="Times New Roman" w:hAnsi="Times New Roman" w:eastAsia="Calibri"/>
        </w:rPr>
        <w:t xml:space="preserve">Bagaimana perkembangan </w:t>
      </w:r>
      <w:r>
        <w:rPr>
          <w:rFonts w:ascii="Times New Roman" w:hAnsi="Times New Roman" w:eastAsia="Calibri"/>
          <w:i/>
          <w:iCs/>
        </w:rPr>
        <w:t xml:space="preserve">Financing to Deposit Ratio </w:t>
      </w:r>
      <w:r>
        <w:rPr>
          <w:rFonts w:ascii="Times New Roman" w:hAnsi="Times New Roman" w:eastAsia="Calibri"/>
        </w:rPr>
        <w:t>(FDR) pada Bank BNI Syariah pada periode tahun 2012-2016?</w:t>
      </w:r>
    </w:p>
    <w:p>
      <w:pPr>
        <w:pStyle w:val="8"/>
        <w:numPr>
          <w:ilvl w:val="0"/>
          <w:numId w:val="1"/>
        </w:numPr>
        <w:spacing w:line="480" w:lineRule="auto"/>
        <w:jc w:val="both"/>
        <w:rPr>
          <w:rFonts w:ascii="Times New Roman" w:hAnsi="Times New Roman" w:eastAsia="Calibri"/>
        </w:rPr>
      </w:pPr>
      <w:r>
        <w:rPr>
          <w:rFonts w:ascii="Times New Roman" w:hAnsi="Times New Roman" w:eastAsia="Calibri"/>
        </w:rPr>
        <w:t xml:space="preserve">Bagaimana perkembangan </w:t>
      </w:r>
      <w:r>
        <w:rPr>
          <w:rFonts w:ascii="Times New Roman" w:hAnsi="Times New Roman" w:eastAsia="Calibri"/>
          <w:i/>
          <w:iCs/>
        </w:rPr>
        <w:t xml:space="preserve">Return On Assets </w:t>
      </w:r>
      <w:r>
        <w:rPr>
          <w:rFonts w:ascii="Times New Roman" w:hAnsi="Times New Roman" w:eastAsia="Calibri"/>
        </w:rPr>
        <w:t>(ROA) pada Bank BNI Syariah pada periode tahun 2012-2016?</w:t>
      </w:r>
    </w:p>
    <w:p>
      <w:pPr>
        <w:pStyle w:val="8"/>
        <w:numPr>
          <w:ilvl w:val="0"/>
          <w:numId w:val="1"/>
        </w:numPr>
        <w:spacing w:line="480" w:lineRule="auto"/>
        <w:jc w:val="both"/>
        <w:rPr>
          <w:rFonts w:ascii="Times New Roman" w:hAnsi="Times New Roman" w:eastAsia="Calibri"/>
        </w:rPr>
      </w:pPr>
      <w:r>
        <w:rPr>
          <w:rFonts w:ascii="Times New Roman" w:hAnsi="Times New Roman" w:eastAsia="Calibri"/>
        </w:rPr>
        <w:t xml:space="preserve">Bagaimana pengaruh secara parsial dan simultan </w:t>
      </w:r>
      <w:r>
        <w:rPr>
          <w:rFonts w:ascii="Times New Roman" w:hAnsi="Times New Roman" w:eastAsia="Calibri"/>
          <w:i/>
          <w:iCs/>
        </w:rPr>
        <w:t xml:space="preserve">Capital Adequacy Ratio </w:t>
      </w:r>
      <w:r>
        <w:rPr>
          <w:rFonts w:ascii="Times New Roman" w:hAnsi="Times New Roman" w:eastAsia="Calibri"/>
        </w:rPr>
        <w:t xml:space="preserve">(CAR), dan </w:t>
      </w:r>
      <w:r>
        <w:rPr>
          <w:rFonts w:ascii="Times New Roman" w:hAnsi="Times New Roman" w:eastAsia="Calibri"/>
          <w:i/>
          <w:iCs/>
        </w:rPr>
        <w:t xml:space="preserve">Financing to Deposit Ratio </w:t>
      </w:r>
      <w:r>
        <w:rPr>
          <w:rFonts w:ascii="Times New Roman" w:hAnsi="Times New Roman" w:eastAsia="Calibri"/>
        </w:rPr>
        <w:t xml:space="preserve">(FDR) terhadap </w:t>
      </w:r>
      <w:r>
        <w:rPr>
          <w:rFonts w:ascii="Times New Roman" w:hAnsi="Times New Roman" w:eastAsia="Calibri"/>
          <w:i/>
          <w:iCs/>
        </w:rPr>
        <w:t xml:space="preserve">Return On Assets </w:t>
      </w:r>
      <w:r>
        <w:rPr>
          <w:rFonts w:ascii="Times New Roman" w:hAnsi="Times New Roman" w:eastAsia="Calibri"/>
        </w:rPr>
        <w:t>(ROA) pada Bank BNI Syariah pada periode tahun 2012-2016?</w:t>
      </w:r>
    </w:p>
    <w:p>
      <w:pPr>
        <w:spacing w:line="360" w:lineRule="auto"/>
        <w:jc w:val="both"/>
        <w:rPr>
          <w:rFonts w:ascii="Times New Roman" w:hAnsi="Times New Roman" w:eastAsia="Calibri"/>
          <w:b/>
          <w:bCs/>
        </w:rPr>
      </w:pPr>
      <w:r>
        <w:rPr>
          <w:rFonts w:ascii="Times New Roman" w:hAnsi="Times New Roman" w:eastAsia="Calibri"/>
          <w:b/>
          <w:bCs/>
        </w:rPr>
        <w:t>1.3 Tujuan penelitian</w:t>
      </w:r>
    </w:p>
    <w:p>
      <w:pPr>
        <w:spacing w:line="480" w:lineRule="auto"/>
        <w:jc w:val="both"/>
        <w:rPr>
          <w:rFonts w:ascii="Times New Roman" w:hAnsi="Times New Roman" w:eastAsia="Calibri"/>
        </w:rPr>
      </w:pPr>
      <w:r>
        <w:rPr>
          <w:rFonts w:ascii="Times New Roman" w:hAnsi="Times New Roman" w:eastAsia="Calibri"/>
          <w:b/>
          <w:bCs/>
        </w:rPr>
        <w:tab/>
      </w:r>
      <w:r>
        <w:rPr>
          <w:rFonts w:ascii="Times New Roman" w:hAnsi="Times New Roman" w:eastAsia="Calibri"/>
        </w:rPr>
        <w:t>Tujuan dari penelitian ini adalah untuk:</w:t>
      </w:r>
    </w:p>
    <w:p>
      <w:pPr>
        <w:pStyle w:val="8"/>
        <w:numPr>
          <w:ilvl w:val="0"/>
          <w:numId w:val="2"/>
        </w:numPr>
        <w:spacing w:line="480" w:lineRule="auto"/>
        <w:jc w:val="both"/>
        <w:rPr>
          <w:rFonts w:ascii="Times New Roman" w:hAnsi="Times New Roman" w:eastAsia="Calibri"/>
        </w:rPr>
      </w:pPr>
      <w:r>
        <w:rPr>
          <w:rFonts w:ascii="Times New Roman" w:hAnsi="Times New Roman" w:eastAsia="Calibri"/>
        </w:rPr>
        <w:t xml:space="preserve">Mendeskripsikan perkembangan </w:t>
      </w:r>
      <w:r>
        <w:rPr>
          <w:rFonts w:ascii="Times New Roman" w:hAnsi="Times New Roman" w:eastAsia="Calibri"/>
          <w:i/>
          <w:iCs/>
        </w:rPr>
        <w:t xml:space="preserve">Capital Adequacy Ratio </w:t>
      </w:r>
      <w:r>
        <w:rPr>
          <w:rFonts w:ascii="Times New Roman" w:hAnsi="Times New Roman" w:eastAsia="Calibri"/>
        </w:rPr>
        <w:t>(CAR), pada Bank BNI Syariah pada periode tahun 2012-2016.</w:t>
      </w:r>
    </w:p>
    <w:p>
      <w:pPr>
        <w:pStyle w:val="8"/>
        <w:numPr>
          <w:ilvl w:val="0"/>
          <w:numId w:val="2"/>
        </w:numPr>
        <w:spacing w:line="480" w:lineRule="auto"/>
        <w:jc w:val="both"/>
        <w:rPr>
          <w:rFonts w:ascii="Times New Roman" w:hAnsi="Times New Roman" w:eastAsia="Calibri"/>
        </w:rPr>
      </w:pPr>
      <w:r>
        <w:rPr>
          <w:rFonts w:ascii="Times New Roman" w:hAnsi="Times New Roman" w:eastAsia="Calibri"/>
        </w:rPr>
        <w:t xml:space="preserve">Mendeskripsikan perkembangan </w:t>
      </w:r>
      <w:r>
        <w:rPr>
          <w:rFonts w:ascii="Times New Roman" w:hAnsi="Times New Roman" w:eastAsia="Calibri"/>
          <w:i/>
          <w:iCs/>
        </w:rPr>
        <w:t xml:space="preserve">Financing to Deposit Ratio </w:t>
      </w:r>
      <w:r>
        <w:rPr>
          <w:rFonts w:ascii="Times New Roman" w:hAnsi="Times New Roman" w:eastAsia="Calibri"/>
        </w:rPr>
        <w:t>(FDR) pada Bank BNI Syariah pada periode tahun 2012-2016.</w:t>
      </w:r>
    </w:p>
    <w:p>
      <w:pPr>
        <w:pStyle w:val="8"/>
        <w:numPr>
          <w:ilvl w:val="0"/>
          <w:numId w:val="2"/>
        </w:numPr>
        <w:spacing w:line="480" w:lineRule="auto"/>
        <w:jc w:val="both"/>
        <w:rPr>
          <w:rFonts w:ascii="Times New Roman" w:hAnsi="Times New Roman" w:eastAsia="Calibri"/>
        </w:rPr>
      </w:pPr>
      <w:r>
        <w:rPr>
          <w:rFonts w:ascii="Times New Roman" w:hAnsi="Times New Roman" w:eastAsia="Calibri"/>
        </w:rPr>
        <w:t xml:space="preserve">Mendeskripsikan perkembangan </w:t>
      </w:r>
      <w:r>
        <w:rPr>
          <w:rFonts w:ascii="Times New Roman" w:hAnsi="Times New Roman" w:eastAsia="Calibri"/>
          <w:i/>
          <w:iCs/>
        </w:rPr>
        <w:t xml:space="preserve">Return On Assets </w:t>
      </w:r>
      <w:r>
        <w:rPr>
          <w:rFonts w:ascii="Times New Roman" w:hAnsi="Times New Roman" w:eastAsia="Calibri"/>
        </w:rPr>
        <w:t>(ROA) pada Bank BNI Syariah pada periode tahun 2012-2016.</w:t>
      </w:r>
    </w:p>
    <w:p>
      <w:pPr>
        <w:pStyle w:val="8"/>
        <w:numPr>
          <w:ilvl w:val="0"/>
          <w:numId w:val="2"/>
        </w:numPr>
        <w:spacing w:line="480" w:lineRule="auto"/>
        <w:jc w:val="both"/>
        <w:rPr>
          <w:rFonts w:ascii="Times New Roman" w:hAnsi="Times New Roman" w:eastAsia="Calibri"/>
        </w:rPr>
      </w:pPr>
      <w:r>
        <w:rPr>
          <w:rFonts w:ascii="Times New Roman" w:hAnsi="Times New Roman" w:eastAsia="Calibri"/>
        </w:rPr>
        <w:t xml:space="preserve">Mendeskripsikan pengaruh secara parsial dan simultan </w:t>
      </w:r>
      <w:r>
        <w:rPr>
          <w:rFonts w:ascii="Times New Roman" w:hAnsi="Times New Roman" w:eastAsia="Calibri"/>
          <w:i/>
          <w:iCs/>
        </w:rPr>
        <w:t xml:space="preserve">Capital Adequacy Ratio </w:t>
      </w:r>
      <w:r>
        <w:rPr>
          <w:rFonts w:ascii="Times New Roman" w:hAnsi="Times New Roman" w:eastAsia="Calibri"/>
        </w:rPr>
        <w:t xml:space="preserve">(CAR), dan </w:t>
      </w:r>
      <w:r>
        <w:rPr>
          <w:rFonts w:ascii="Times New Roman" w:hAnsi="Times New Roman" w:eastAsia="Calibri"/>
          <w:i/>
          <w:iCs/>
        </w:rPr>
        <w:t xml:space="preserve">Financing to Deposit Ratio </w:t>
      </w:r>
      <w:r>
        <w:rPr>
          <w:rFonts w:ascii="Times New Roman" w:hAnsi="Times New Roman" w:eastAsia="Calibri"/>
        </w:rPr>
        <w:t xml:space="preserve">(FDR) terhadap </w:t>
      </w:r>
      <w:r>
        <w:rPr>
          <w:rFonts w:ascii="Times New Roman" w:hAnsi="Times New Roman" w:eastAsia="Calibri"/>
          <w:i/>
          <w:iCs/>
        </w:rPr>
        <w:t xml:space="preserve">Return On Assets </w:t>
      </w:r>
      <w:r>
        <w:rPr>
          <w:rFonts w:ascii="Times New Roman" w:hAnsi="Times New Roman" w:eastAsia="Calibri"/>
        </w:rPr>
        <w:t>(ROA) pada Bank BNI Syariah pada periode tahun 2012-2016?</w:t>
      </w:r>
    </w:p>
    <w:p>
      <w:pPr>
        <w:pStyle w:val="8"/>
        <w:spacing w:line="480" w:lineRule="auto"/>
        <w:ind w:left="360"/>
        <w:jc w:val="both"/>
        <w:rPr>
          <w:rFonts w:ascii="Times New Roman" w:hAnsi="Times New Roman" w:eastAsia="Calibri"/>
        </w:rPr>
      </w:pPr>
    </w:p>
    <w:p>
      <w:pPr>
        <w:spacing w:line="360" w:lineRule="auto"/>
        <w:jc w:val="both"/>
        <w:rPr>
          <w:rFonts w:ascii="Times New Roman" w:hAnsi="Times New Roman" w:eastAsia="Calibri"/>
          <w:b/>
          <w:bCs/>
        </w:rPr>
      </w:pPr>
      <w:r>
        <w:rPr>
          <w:rFonts w:ascii="Times New Roman" w:hAnsi="Times New Roman" w:eastAsia="Calibri"/>
          <w:b/>
          <w:bCs/>
        </w:rPr>
        <w:t>1.4 Kegunaan Penelitian</w:t>
      </w:r>
    </w:p>
    <w:p>
      <w:pPr>
        <w:spacing w:line="480" w:lineRule="auto"/>
        <w:jc w:val="both"/>
        <w:rPr>
          <w:rFonts w:ascii="Times New Roman" w:hAnsi="Times New Roman" w:eastAsia="Calibri"/>
        </w:rPr>
      </w:pPr>
      <w:r>
        <w:rPr>
          <w:rFonts w:ascii="Times New Roman" w:hAnsi="Times New Roman" w:eastAsia="Calibri"/>
          <w:b/>
          <w:bCs/>
        </w:rPr>
        <w:tab/>
      </w:r>
      <w:r>
        <w:rPr>
          <w:rFonts w:ascii="Times New Roman" w:hAnsi="Times New Roman" w:eastAsia="Calibri"/>
        </w:rPr>
        <w:t>Berdasarkan data yang telah dianalisis, penulis berharap hasil penelitian ini dapat bermanfaat bagi dua aspek yaitu aspek teoritis dan aspek praktis:</w:t>
      </w:r>
    </w:p>
    <w:p>
      <w:pPr>
        <w:pStyle w:val="8"/>
        <w:numPr>
          <w:ilvl w:val="0"/>
          <w:numId w:val="3"/>
        </w:numPr>
        <w:spacing w:line="480" w:lineRule="auto"/>
        <w:jc w:val="both"/>
        <w:rPr>
          <w:rFonts w:ascii="Times New Roman" w:hAnsi="Times New Roman" w:eastAsia="Calibri"/>
        </w:rPr>
      </w:pPr>
      <w:r>
        <w:rPr>
          <w:rFonts w:ascii="Times New Roman" w:hAnsi="Times New Roman" w:eastAsia="Calibri"/>
        </w:rPr>
        <w:t>Kegunaan Teoritis</w:t>
      </w:r>
    </w:p>
    <w:p>
      <w:pPr>
        <w:pStyle w:val="8"/>
        <w:spacing w:line="480" w:lineRule="auto"/>
        <w:jc w:val="both"/>
        <w:rPr>
          <w:rFonts w:ascii="Times New Roman" w:hAnsi="Times New Roman" w:eastAsia="Calibri"/>
        </w:rPr>
      </w:pPr>
      <w:r>
        <w:rPr>
          <w:rFonts w:ascii="Times New Roman" w:hAnsi="Times New Roman" w:eastAsia="Calibri"/>
        </w:rPr>
        <w:t xml:space="preserve">Hasil dari penelitian ini diharapkan dapat memberikan kontribusi yang bermanfaat bagi kajian perbankan syariah, sebagai perkembangan ilmu terutama yang berkaitan dengan pengaruh </w:t>
      </w:r>
      <w:r>
        <w:rPr>
          <w:rFonts w:ascii="Times New Roman" w:hAnsi="Times New Roman" w:eastAsia="Calibri"/>
          <w:i/>
          <w:iCs/>
        </w:rPr>
        <w:t xml:space="preserve">Capital Adequacy Ratio </w:t>
      </w:r>
      <w:r>
        <w:rPr>
          <w:rFonts w:ascii="Times New Roman" w:hAnsi="Times New Roman" w:eastAsia="Calibri"/>
        </w:rPr>
        <w:t xml:space="preserve">(CAR), </w:t>
      </w:r>
      <w:r>
        <w:rPr>
          <w:rFonts w:ascii="Times New Roman" w:hAnsi="Times New Roman" w:eastAsia="Calibri"/>
          <w:i/>
          <w:iCs/>
        </w:rPr>
        <w:t xml:space="preserve">Financing to Deposit Ratio </w:t>
      </w:r>
      <w:r>
        <w:rPr>
          <w:rFonts w:ascii="Times New Roman" w:hAnsi="Times New Roman" w:eastAsia="Calibri"/>
        </w:rPr>
        <w:t xml:space="preserve">(FDR) dan </w:t>
      </w:r>
      <w:r>
        <w:rPr>
          <w:rFonts w:ascii="Times New Roman" w:hAnsi="Times New Roman" w:eastAsia="Calibri"/>
          <w:i/>
          <w:iCs/>
        </w:rPr>
        <w:t xml:space="preserve">Return On Assets </w:t>
      </w:r>
      <w:r>
        <w:rPr>
          <w:rFonts w:ascii="Times New Roman" w:hAnsi="Times New Roman" w:eastAsia="Calibri"/>
        </w:rPr>
        <w:t>(ROA)</w:t>
      </w:r>
    </w:p>
    <w:p>
      <w:pPr>
        <w:pStyle w:val="8"/>
        <w:numPr>
          <w:ilvl w:val="0"/>
          <w:numId w:val="3"/>
        </w:numPr>
        <w:spacing w:line="480" w:lineRule="auto"/>
        <w:jc w:val="both"/>
        <w:rPr>
          <w:rFonts w:ascii="Times New Roman" w:hAnsi="Times New Roman" w:eastAsia="Calibri"/>
        </w:rPr>
      </w:pPr>
      <w:r>
        <w:rPr>
          <w:rFonts w:ascii="Times New Roman" w:hAnsi="Times New Roman" w:eastAsia="Calibri"/>
        </w:rPr>
        <w:t>Kegunaan Praktis</w:t>
      </w:r>
    </w:p>
    <w:p>
      <w:pPr>
        <w:pStyle w:val="8"/>
        <w:numPr>
          <w:ilvl w:val="0"/>
          <w:numId w:val="4"/>
        </w:numPr>
        <w:spacing w:line="480" w:lineRule="auto"/>
        <w:jc w:val="both"/>
        <w:rPr>
          <w:rFonts w:ascii="Times New Roman" w:hAnsi="Times New Roman" w:eastAsia="Calibri"/>
        </w:rPr>
      </w:pPr>
      <w:r>
        <w:rPr>
          <w:rFonts w:ascii="Times New Roman" w:hAnsi="Times New Roman" w:eastAsia="Calibri"/>
        </w:rPr>
        <w:t>Bagi Penulis</w:t>
      </w:r>
    </w:p>
    <w:p>
      <w:pPr>
        <w:pStyle w:val="8"/>
        <w:spacing w:line="480" w:lineRule="auto"/>
        <w:jc w:val="both"/>
        <w:rPr>
          <w:rFonts w:ascii="Times New Roman" w:hAnsi="Times New Roman" w:eastAsia="Calibri"/>
        </w:rPr>
      </w:pPr>
      <w:r>
        <w:rPr>
          <w:rFonts w:ascii="Times New Roman" w:hAnsi="Times New Roman" w:eastAsia="Calibri"/>
        </w:rPr>
        <w:t xml:space="preserve">Diharapkan dapat memberikan tambahan pengetahuan tentang pengaruh </w:t>
      </w:r>
      <w:r>
        <w:rPr>
          <w:rFonts w:ascii="Times New Roman" w:hAnsi="Times New Roman" w:eastAsia="Calibri"/>
          <w:i/>
          <w:iCs/>
        </w:rPr>
        <w:t xml:space="preserve">Capital Adequacy Ratio </w:t>
      </w:r>
      <w:r>
        <w:rPr>
          <w:rFonts w:ascii="Times New Roman" w:hAnsi="Times New Roman" w:eastAsia="Calibri"/>
        </w:rPr>
        <w:t xml:space="preserve">(CAR), </w:t>
      </w:r>
      <w:r>
        <w:rPr>
          <w:rFonts w:ascii="Times New Roman" w:hAnsi="Times New Roman" w:eastAsia="Calibri"/>
          <w:i/>
          <w:iCs/>
        </w:rPr>
        <w:t xml:space="preserve">Financing to Deposit Ratio </w:t>
      </w:r>
      <w:r>
        <w:rPr>
          <w:rFonts w:ascii="Times New Roman" w:hAnsi="Times New Roman" w:eastAsia="Calibri"/>
        </w:rPr>
        <w:t xml:space="preserve">(FDR) dan </w:t>
      </w:r>
      <w:r>
        <w:rPr>
          <w:rFonts w:ascii="Times New Roman" w:hAnsi="Times New Roman" w:eastAsia="Calibri"/>
          <w:i/>
          <w:iCs/>
        </w:rPr>
        <w:t xml:space="preserve">Return On Assets </w:t>
      </w:r>
      <w:r>
        <w:rPr>
          <w:rFonts w:ascii="Times New Roman" w:hAnsi="Times New Roman" w:eastAsia="Calibri"/>
        </w:rPr>
        <w:t>(ROA) dan sebagai bahan perbandingan antara teori dengan kejadian dilapangan bagi objek penelitian.</w:t>
      </w:r>
    </w:p>
    <w:p>
      <w:pPr>
        <w:pStyle w:val="8"/>
        <w:numPr>
          <w:ilvl w:val="0"/>
          <w:numId w:val="4"/>
        </w:numPr>
        <w:spacing w:line="480" w:lineRule="auto"/>
        <w:jc w:val="both"/>
        <w:rPr>
          <w:rFonts w:ascii="Times New Roman" w:hAnsi="Times New Roman" w:eastAsia="Calibri"/>
        </w:rPr>
      </w:pPr>
      <w:r>
        <w:rPr>
          <w:rFonts w:ascii="Times New Roman" w:hAnsi="Times New Roman" w:eastAsia="Calibri"/>
        </w:rPr>
        <w:t>Bagi Objek Penelitian</w:t>
      </w:r>
    </w:p>
    <w:p>
      <w:pPr>
        <w:pStyle w:val="8"/>
        <w:spacing w:line="480" w:lineRule="auto"/>
        <w:jc w:val="both"/>
        <w:rPr>
          <w:rFonts w:ascii="Times New Roman" w:hAnsi="Times New Roman" w:eastAsia="Calibri"/>
        </w:rPr>
      </w:pPr>
      <w:r>
        <w:rPr>
          <w:rFonts w:ascii="Times New Roman" w:hAnsi="Times New Roman" w:eastAsia="Calibri"/>
        </w:rPr>
        <w:t>Diharapkan dapat menjadi sumbangan pemikiran bagi perusahaan agar menjadi lebih baik dimasa yang akan datang.</w:t>
      </w:r>
    </w:p>
    <w:p>
      <w:pPr>
        <w:pStyle w:val="8"/>
        <w:numPr>
          <w:ilvl w:val="0"/>
          <w:numId w:val="4"/>
        </w:numPr>
        <w:spacing w:line="480" w:lineRule="auto"/>
        <w:jc w:val="both"/>
        <w:rPr>
          <w:rFonts w:ascii="Times New Roman" w:hAnsi="Times New Roman" w:eastAsia="Calibri"/>
        </w:rPr>
      </w:pPr>
      <w:r>
        <w:rPr>
          <w:rFonts w:ascii="Times New Roman" w:hAnsi="Times New Roman" w:eastAsia="Calibri"/>
        </w:rPr>
        <w:t>Bagi Akademik</w:t>
      </w:r>
    </w:p>
    <w:p>
      <w:pPr>
        <w:pStyle w:val="8"/>
        <w:spacing w:line="480" w:lineRule="auto"/>
        <w:jc w:val="both"/>
        <w:rPr>
          <w:rFonts w:ascii="Times New Roman" w:hAnsi="Times New Roman" w:eastAsia="Calibri"/>
        </w:rPr>
      </w:pPr>
      <w:r>
        <w:rPr>
          <w:rFonts w:ascii="Times New Roman" w:hAnsi="Times New Roman" w:eastAsia="Calibri"/>
        </w:rPr>
        <w:t>Dapat menjadi sumber referensi pembelajaran khususnya untuk mahasiswa/i Sekolah Tinggi Ilmu EKUITAS Bandung.</w:t>
      </w:r>
    </w:p>
    <w:p>
      <w:pPr>
        <w:pStyle w:val="8"/>
        <w:numPr>
          <w:ilvl w:val="0"/>
          <w:numId w:val="4"/>
        </w:numPr>
        <w:spacing w:line="480" w:lineRule="auto"/>
        <w:jc w:val="both"/>
        <w:rPr>
          <w:rFonts w:ascii="Times New Roman" w:hAnsi="Times New Roman" w:eastAsia="Calibri"/>
        </w:rPr>
      </w:pPr>
      <w:r>
        <w:rPr>
          <w:rFonts w:ascii="Times New Roman" w:hAnsi="Times New Roman" w:eastAsia="Calibri"/>
        </w:rPr>
        <w:t>Bagi Umum</w:t>
      </w:r>
    </w:p>
    <w:p>
      <w:pPr>
        <w:pStyle w:val="8"/>
        <w:spacing w:line="480" w:lineRule="auto"/>
        <w:jc w:val="both"/>
        <w:rPr>
          <w:rFonts w:ascii="Times New Roman" w:hAnsi="Times New Roman" w:eastAsia="Calibri"/>
          <w:b/>
          <w:bCs/>
        </w:rPr>
      </w:pPr>
      <w:r>
        <w:rPr>
          <w:rFonts w:ascii="Times New Roman" w:hAnsi="Times New Roman" w:eastAsia="Calibri"/>
        </w:rPr>
        <w:t>Diharapkan dapat menjadi bahan masukan dan inspirasi untuk mengembangkan penelitian yang lebih luas dan mendalam mengenai masalah perbankan.</w:t>
      </w:r>
    </w:p>
    <w:p>
      <w:pPr>
        <w:pStyle w:val="8"/>
        <w:spacing w:line="360" w:lineRule="auto"/>
        <w:jc w:val="both"/>
        <w:rPr>
          <w:rFonts w:ascii="Times New Roman" w:hAnsi="Times New Roman" w:eastAsia="Calibri"/>
          <w:b/>
          <w:bCs/>
        </w:rPr>
      </w:pPr>
      <w:r>
        <w:rPr>
          <w:rFonts w:ascii="Times New Roman" w:hAnsi="Times New Roman" w:eastAsia="Calibri"/>
          <w:b/>
          <w:bCs/>
        </w:rPr>
        <w:t xml:space="preserve"> </w:t>
      </w:r>
    </w:p>
    <w:p>
      <w:pPr>
        <w:pStyle w:val="8"/>
        <w:spacing w:line="480" w:lineRule="auto"/>
        <w:jc w:val="both"/>
        <w:rPr>
          <w:rFonts w:ascii="Times New Roman" w:hAnsi="Times New Roman" w:eastAsia="Calibri"/>
          <w:b/>
          <w:bCs/>
        </w:rPr>
      </w:pPr>
      <w:r>
        <w:rPr>
          <w:rFonts w:ascii="Times New Roman" w:hAnsi="Times New Roman" w:eastAsia="Calibri"/>
          <w:b/>
          <w:bCs/>
        </w:rPr>
        <w:t>1.5</w:t>
      </w:r>
      <w:r>
        <w:rPr>
          <w:rFonts w:ascii="Times New Roman" w:hAnsi="Times New Roman" w:eastAsia="Calibri"/>
          <w:b/>
          <w:bCs/>
        </w:rPr>
        <w:tab/>
      </w:r>
      <w:r>
        <w:rPr>
          <w:rFonts w:ascii="Times New Roman" w:hAnsi="Times New Roman" w:eastAsia="Calibri"/>
          <w:b/>
          <w:bCs/>
        </w:rPr>
        <w:t>Lokasi dan Waktu Penelitian</w:t>
      </w:r>
    </w:p>
    <w:p>
      <w:pPr>
        <w:pStyle w:val="8"/>
        <w:spacing w:line="480" w:lineRule="auto"/>
        <w:jc w:val="both"/>
        <w:rPr>
          <w:rFonts w:ascii="Times New Roman" w:hAnsi="Times New Roman" w:eastAsia="Calibri"/>
          <w:b/>
          <w:bCs/>
        </w:rPr>
      </w:pPr>
      <w:r>
        <w:rPr>
          <w:rFonts w:ascii="Times New Roman" w:hAnsi="Times New Roman" w:eastAsia="Calibri"/>
          <w:b/>
          <w:bCs/>
        </w:rPr>
        <w:t>1.5.1</w:t>
      </w:r>
      <w:r>
        <w:rPr>
          <w:rFonts w:ascii="Times New Roman" w:hAnsi="Times New Roman" w:eastAsia="Calibri"/>
          <w:b/>
          <w:bCs/>
        </w:rPr>
        <w:tab/>
      </w:r>
      <w:r>
        <w:rPr>
          <w:rFonts w:ascii="Times New Roman" w:hAnsi="Times New Roman" w:eastAsia="Calibri"/>
          <w:b/>
          <w:bCs/>
        </w:rPr>
        <w:t>Lokasi Penelitian</w:t>
      </w:r>
    </w:p>
    <w:p>
      <w:pPr>
        <w:pStyle w:val="8"/>
        <w:spacing w:line="480" w:lineRule="auto"/>
        <w:jc w:val="both"/>
        <w:rPr>
          <w:rFonts w:ascii="Times New Roman" w:hAnsi="Times New Roman" w:eastAsia="Calibri"/>
        </w:rPr>
      </w:pPr>
      <w:r>
        <w:rPr>
          <w:rFonts w:ascii="Times New Roman" w:hAnsi="Times New Roman" w:eastAsia="Calibri"/>
        </w:rPr>
        <w:t xml:space="preserve">Penelitian ini dilakukan pada Bank BNI Syariah periode 2012-2016 melalui </w:t>
      </w:r>
      <w:r>
        <w:rPr>
          <w:rFonts w:ascii="Times New Roman" w:hAnsi="Times New Roman" w:eastAsia="Calibri"/>
          <w:i/>
          <w:iCs/>
        </w:rPr>
        <w:t xml:space="preserve">website </w:t>
      </w:r>
      <w:r>
        <w:fldChar w:fldCharType="begin"/>
      </w:r>
      <w:r>
        <w:instrText xml:space="preserve"> HYPERLINK "http://www.bankmuamalat.co.id" </w:instrText>
      </w:r>
      <w:r>
        <w:fldChar w:fldCharType="separate"/>
      </w:r>
      <w:r>
        <w:rPr>
          <w:rStyle w:val="10"/>
          <w:rFonts w:ascii="Times New Roman" w:hAnsi="Times New Roman"/>
          <w:i/>
          <w:iCs/>
        </w:rPr>
        <w:t>www.bnisyairah.co.id</w:t>
      </w:r>
      <w:r>
        <w:rPr>
          <w:rStyle w:val="10"/>
          <w:rFonts w:ascii="Times New Roman" w:hAnsi="Times New Roman"/>
          <w:i/>
          <w:iCs/>
        </w:rPr>
        <w:fldChar w:fldCharType="end"/>
      </w:r>
      <w:r>
        <w:rPr>
          <w:rFonts w:ascii="Times New Roman" w:hAnsi="Times New Roman" w:eastAsia="Calibri"/>
          <w:i/>
          <w:iCs/>
        </w:rPr>
        <w:t xml:space="preserve"> </w:t>
      </w:r>
      <w:r>
        <w:rPr>
          <w:rFonts w:ascii="Times New Roman" w:hAnsi="Times New Roman" w:eastAsia="Calibri"/>
        </w:rPr>
        <w:t>dan berbagai sumber lainnya.</w:t>
      </w:r>
    </w:p>
    <w:p>
      <w:pPr>
        <w:pStyle w:val="8"/>
        <w:spacing w:line="480" w:lineRule="auto"/>
        <w:jc w:val="both"/>
        <w:rPr>
          <w:rFonts w:ascii="Times New Roman" w:hAnsi="Times New Roman" w:eastAsia="Calibri"/>
        </w:rPr>
      </w:pPr>
    </w:p>
    <w:p>
      <w:pPr>
        <w:pStyle w:val="8"/>
        <w:spacing w:line="480" w:lineRule="auto"/>
        <w:jc w:val="both"/>
        <w:rPr>
          <w:rFonts w:ascii="Times New Roman" w:hAnsi="Times New Roman" w:eastAsia="Calibri"/>
          <w:b/>
          <w:bCs/>
        </w:rPr>
      </w:pPr>
      <w:r>
        <w:rPr>
          <w:rFonts w:ascii="Times New Roman" w:hAnsi="Times New Roman" w:eastAsia="Calibri"/>
          <w:b/>
          <w:bCs/>
        </w:rPr>
        <w:t>1.5.2</w:t>
      </w:r>
      <w:r>
        <w:rPr>
          <w:rFonts w:ascii="Times New Roman" w:hAnsi="Times New Roman" w:eastAsia="Calibri"/>
          <w:b/>
          <w:bCs/>
        </w:rPr>
        <w:tab/>
      </w:r>
      <w:r>
        <w:rPr>
          <w:rFonts w:ascii="Times New Roman" w:hAnsi="Times New Roman" w:eastAsia="Calibri"/>
          <w:b/>
          <w:bCs/>
        </w:rPr>
        <w:t>Waktu Penelitian</w:t>
      </w:r>
    </w:p>
    <w:p>
      <w:pPr>
        <w:pStyle w:val="8"/>
        <w:spacing w:line="480" w:lineRule="auto"/>
        <w:jc w:val="both"/>
        <w:rPr>
          <w:rFonts w:ascii="Times New Roman" w:hAnsi="Times New Roman"/>
        </w:rPr>
      </w:pPr>
      <w:r>
        <w:rPr>
          <w:rFonts w:ascii="Times New Roman" w:hAnsi="Times New Roman" w:eastAsia="Calibri"/>
        </w:rPr>
        <w:t>Penelitian ini dilakukan pada bulan Maret 2018 sampai dengan selesai.</w:t>
      </w:r>
    </w:p>
    <w:sectPr>
      <w:footerReference r:id="rId3" w:type="default"/>
      <w:pgSz w:w="11906" w:h="16838"/>
      <w:pgMar w:top="1701" w:right="1701" w:bottom="1701" w:left="2268"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Raleway">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3850705"/>
    </w:sdtPr>
    <w:sdtEndPr>
      <w:rPr>
        <w:sz w:val="22"/>
        <w:szCs w:val="22"/>
      </w:rPr>
    </w:sdtEndPr>
    <w:sdtContent>
      <w:p>
        <w:pPr>
          <w:pStyle w:val="3"/>
          <w:jc w:val="right"/>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2</w:t>
        </w:r>
        <w:r>
          <w:rPr>
            <w:sz w:val="22"/>
            <w:szCs w:val="22"/>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34F3D"/>
    <w:multiLevelType w:val="multilevel"/>
    <w:tmpl w:val="01634F3D"/>
    <w:lvl w:ilvl="0" w:tentative="0">
      <w:start w:val="1"/>
      <w:numFmt w:val="lowerLetter"/>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1">
    <w:nsid w:val="03544D4B"/>
    <w:multiLevelType w:val="multilevel"/>
    <w:tmpl w:val="03544D4B"/>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2">
    <w:nsid w:val="5D497658"/>
    <w:multiLevelType w:val="multilevel"/>
    <w:tmpl w:val="5D497658"/>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3">
    <w:nsid w:val="763B794F"/>
    <w:multiLevelType w:val="multilevel"/>
    <w:tmpl w:val="763B794F"/>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2EC"/>
    <w:rsid w:val="001454E1"/>
    <w:rsid w:val="00585991"/>
    <w:rsid w:val="006829CA"/>
    <w:rsid w:val="009145F2"/>
    <w:rsid w:val="00AC28A0"/>
    <w:rsid w:val="00CE02EC"/>
    <w:rsid w:val="02754390"/>
    <w:rsid w:val="03002BA0"/>
    <w:rsid w:val="04F1608B"/>
    <w:rsid w:val="05A65C0B"/>
    <w:rsid w:val="061675BE"/>
    <w:rsid w:val="0C721442"/>
    <w:rsid w:val="0D712D0C"/>
    <w:rsid w:val="0DA92A7C"/>
    <w:rsid w:val="138D322F"/>
    <w:rsid w:val="1659784B"/>
    <w:rsid w:val="197F1FF8"/>
    <w:rsid w:val="1AA36E22"/>
    <w:rsid w:val="1CA67849"/>
    <w:rsid w:val="26D4491E"/>
    <w:rsid w:val="303C5479"/>
    <w:rsid w:val="3E3566B5"/>
    <w:rsid w:val="408E513A"/>
    <w:rsid w:val="44882323"/>
    <w:rsid w:val="44F972EB"/>
    <w:rsid w:val="49A111DF"/>
    <w:rsid w:val="4ADC7130"/>
    <w:rsid w:val="50DA677B"/>
    <w:rsid w:val="53FB52C7"/>
    <w:rsid w:val="542867C2"/>
    <w:rsid w:val="560D1844"/>
    <w:rsid w:val="563F4EA1"/>
    <w:rsid w:val="57853E49"/>
    <w:rsid w:val="58334928"/>
    <w:rsid w:val="5AC3708E"/>
    <w:rsid w:val="679E38BD"/>
    <w:rsid w:val="6B8D79FC"/>
    <w:rsid w:val="6E8B30AB"/>
    <w:rsid w:val="71B70953"/>
    <w:rsid w:val="727A5984"/>
    <w:rsid w:val="73D343C1"/>
    <w:rsid w:val="742812C4"/>
    <w:rsid w:val="762214F3"/>
    <w:rsid w:val="7C3A79B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00" w:afterAutospacing="1" w:line="273" w:lineRule="auto"/>
    </w:pPr>
    <w:rPr>
      <w:rFonts w:ascii="Calibri" w:hAnsi="Calibri" w:eastAsia="Times New Roman" w:cs="Times New Roman"/>
      <w:sz w:val="24"/>
      <w:szCs w:val="24"/>
      <w:lang w:val="id-ID" w:eastAsia="id-ID"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pPr>
      <w:spacing w:before="0" w:after="0" w:line="240" w:lineRule="auto"/>
    </w:pPr>
    <w:rPr>
      <w:rFonts w:ascii="Segoe UI" w:hAnsi="Segoe UI" w:cs="Segoe UI"/>
      <w:sz w:val="18"/>
      <w:szCs w:val="18"/>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unhideWhenUsed/>
    <w:uiPriority w:val="99"/>
    <w:pPr>
      <w:tabs>
        <w:tab w:val="center" w:pos="4153"/>
        <w:tab w:val="right" w:pos="8306"/>
      </w:tabs>
      <w:snapToGrid w:val="0"/>
    </w:pPr>
    <w:rPr>
      <w:sz w:val="18"/>
      <w:szCs w:val="18"/>
    </w:rPr>
  </w:style>
  <w:style w:type="table" w:styleId="7">
    <w:name w:val="Table Grid"/>
    <w:basedOn w:val="6"/>
    <w:unhideWhenUsed/>
    <w:qFormat/>
    <w:uiPriority w:val="99"/>
    <w:pPr>
      <w:spacing w:after="0" w:line="240" w:lineRule="auto"/>
    </w:pPr>
    <w:rPr>
      <w:rFonts w:eastAsia="Times New Roman"/>
      <w:lang w:eastAsia="id-ID"/>
    </w:rPr>
    <w:tblPr>
      <w:tblLayout w:type="fixed"/>
      <w:tblCellMar>
        <w:left w:w="0" w:type="dxa"/>
        <w:right w:w="0" w:type="dxa"/>
      </w:tblCellMar>
    </w:tblPr>
  </w:style>
  <w:style w:type="paragraph" w:customStyle="1" w:styleId="8">
    <w:name w:val="List Paragraph1"/>
    <w:basedOn w:val="1"/>
    <w:qFormat/>
    <w:uiPriority w:val="99"/>
    <w:pPr>
      <w:contextualSpacing/>
    </w:pPr>
  </w:style>
  <w:style w:type="paragraph" w:customStyle="1" w:styleId="9">
    <w:name w:val="Default"/>
    <w:basedOn w:val="1"/>
    <w:uiPriority w:val="0"/>
    <w:pPr>
      <w:autoSpaceDE w:val="0"/>
      <w:autoSpaceDN w:val="0"/>
      <w:adjustRightInd w:val="0"/>
      <w:spacing w:line="240" w:lineRule="auto"/>
    </w:pPr>
    <w:rPr>
      <w:rFonts w:ascii="Times New Roman" w:hAnsi="Times New Roman" w:eastAsia="Calibri"/>
      <w:color w:val="000000"/>
    </w:rPr>
  </w:style>
  <w:style w:type="character" w:customStyle="1" w:styleId="10">
    <w:name w:val="15"/>
    <w:basedOn w:val="5"/>
    <w:uiPriority w:val="0"/>
    <w:rPr>
      <w:rFonts w:hint="default" w:ascii="Calibri" w:hAnsi="Calibri" w:cs="Calibri"/>
      <w:color w:val="0000FF"/>
      <w:u w:val="single"/>
    </w:rPr>
  </w:style>
  <w:style w:type="character" w:customStyle="1" w:styleId="11">
    <w:name w:val="Footer Char"/>
    <w:basedOn w:val="5"/>
    <w:link w:val="3"/>
    <w:uiPriority w:val="99"/>
    <w:rPr>
      <w:rFonts w:ascii="Calibri" w:hAnsi="Calibri" w:eastAsia="Times New Roman"/>
      <w:sz w:val="18"/>
      <w:szCs w:val="18"/>
      <w:lang w:val="id-ID" w:eastAsia="id-ID"/>
    </w:rPr>
  </w:style>
  <w:style w:type="character" w:customStyle="1" w:styleId="12">
    <w:name w:val="Balloon Text Char"/>
    <w:basedOn w:val="5"/>
    <w:link w:val="2"/>
    <w:semiHidden/>
    <w:uiPriority w:val="99"/>
    <w:rPr>
      <w:rFonts w:ascii="Segoe UI" w:hAnsi="Segoe UI" w:eastAsia="Times New Roman" w:cs="Segoe UI"/>
      <w:sz w:val="18"/>
      <w:szCs w:val="18"/>
      <w:lang w:val="id-ID" w:eastAsia="id-I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2537</Words>
  <Characters>14466</Characters>
  <Lines>120</Lines>
  <Paragraphs>33</Paragraphs>
  <TotalTime>0</TotalTime>
  <ScaleCrop>false</ScaleCrop>
  <LinksUpToDate>false</LinksUpToDate>
  <CharactersWithSpaces>16970</CharactersWithSpaces>
  <Application>WPS Office_10.2.0.5978_F1E327BC-269C-435d-A152-05C5408002CA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2018-05-22T05:00:00Z</dcterms:created>
  <dc:creator>Windows User</dc:creator>
  <cp:lastModifiedBy>Asus</cp:lastModifiedBy>
  <cp:lastPrinted>2018-07-18T01:55:00Z</cp:lastPrinted>
  <dcterms:modified xsi:type="dcterms:W3CDTF">2018-08-20T01:54:16Z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